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41" w:tblpY="287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152"/>
        <w:gridCol w:w="840"/>
        <w:gridCol w:w="10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评分项目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分值</w:t>
            </w:r>
          </w:p>
        </w:tc>
        <w:tc>
          <w:tcPr>
            <w:tcW w:w="10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价格评分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</w:t>
            </w:r>
          </w:p>
        </w:tc>
        <w:tc>
          <w:tcPr>
            <w:tcW w:w="10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根据财政部印发《政府采购竞争性磋商采购方式管理暂行办法》（财库〔2014〕214号），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满足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磋商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文件要求且价格最低价为基准价，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磋商报价得分=（磋商基准价/最后磋商报价）×价格权值×100。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相关经验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分</w:t>
            </w:r>
          </w:p>
        </w:tc>
        <w:tc>
          <w:tcPr>
            <w:tcW w:w="10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曾承担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社会发展类课题调研或规划起草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项目。承担过国家（含国家部委单位）项目得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分；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承担过省级（含省级厅局单位）项目得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分；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承担过市级（含地市部门单位）项目得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分；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承担过区级（含县区部门单位）项目得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分。每提供一份正式评估报告，按照以上分值加分，该项最高得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分。（提供委托合同，未提供材料或材料不完整不得分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。如有保密需要，请携带至现场出具.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项目团队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20分</w:t>
            </w:r>
          </w:p>
        </w:tc>
        <w:tc>
          <w:tcPr>
            <w:tcW w:w="10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1.专职专业人员：供应商配置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至少3名以上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具备经济管理类专业资质的人员。1人同时满足经济类/管理类/社会学类专业，全日制大学本科及以上学历，1年以上在基层服务工作经验3个要求得3分，满足2个要求得2分，满足其中1个要求得1分，最高得10分。（供应商提供与个人的劳动合同、缴纳社保相关证明材料，社保清单缴费单位名称与供应商名称一致。与本项目无关人员不纳入评分范围。下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2.带队专家：供应商配置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至少1名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在社会学研究、城乡产业规划、养老服务等行业领域的资源，每1人得2分，获得省级及以上政府部门颁发的人才奖励的得5分，具有正高及以上职称的得4分，副高及以上职称的得3分，如同一人具有两种以上职称的得最高分。最高得10分。（供应商提供与专家的合同、聘书或劳务费凭证等相关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获得荣誉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10分</w:t>
            </w:r>
          </w:p>
        </w:tc>
        <w:tc>
          <w:tcPr>
            <w:tcW w:w="10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1.获奖情况：供应商获得政府部门颁发的社会组织、企事业单位优秀荣誉，每提供1个获得2分，最高得4分（提供官方公示文件复印件或证书复印件）。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2.服务荣誉:供应商在承接政府部门购买服务项目后，获得政府部门评选或评估为服务优秀的，每具1项得2分，最高6分。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工作方案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20分</w:t>
            </w:r>
          </w:p>
        </w:tc>
        <w:tc>
          <w:tcPr>
            <w:tcW w:w="10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项目方案完整清晰，提供了明确的工作思路、详实可行的措施、项目流程管理及合理的经费测算等内容。按照优：16-20分、良：12-16分、中:8-12分、差：0-8分等4个等级进行评分。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附件：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</w:t>
      </w:r>
      <w:bookmarkStart w:id="0" w:name="_GoBack"/>
      <w:r>
        <w:rPr>
          <w:rFonts w:hint="eastAsia" w:ascii="仿宋" w:hAnsi="仿宋" w:eastAsia="仿宋" w:cs="宋体"/>
          <w:b/>
          <w:bCs w:val="0"/>
          <w:sz w:val="36"/>
          <w:szCs w:val="36"/>
          <w:lang w:val="en-US" w:eastAsia="zh-CN"/>
        </w:rPr>
        <w:t>课题研究项目采购评分标准</w:t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65D5D"/>
    <w:rsid w:val="7A3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2019-11-21T01:35:00Z</dcterms:created>
  <dc:creator>luck刘小妞</dc:creator>
  <cp:lastModifiedBy>luck刘小妞</cp:lastModifiedBy>
  <dcterms:modified xsi:type="dcterms:W3CDTF">2019-11-21T01:36:35Z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