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clear" w:color="auto" w:fill="FFFFFF"/>
        <w:wordWrap/>
        <w:adjustRightInd/>
        <w:snapToGrid/>
        <w:spacing w:before="0" w:after="0" w:line="600" w:lineRule="exact"/>
        <w:ind w:left="0" w:leftChars="0" w:right="0"/>
        <w:jc w:val="center"/>
        <w:textAlignment w:val="auto"/>
        <w:outlineLvl w:val="9"/>
        <w:rPr>
          <w:rFonts w:ascii="Helvetica" w:hAnsi="Helvetica" w:eastAsia="宋体" w:cs="Helvetica"/>
          <w:color w:val="000000"/>
          <w:spacing w:val="-10"/>
          <w:kern w:val="0"/>
          <w:sz w:val="44"/>
          <w:szCs w:val="44"/>
        </w:rPr>
      </w:pPr>
      <w:r>
        <w:rPr>
          <w:rFonts w:hint="eastAsia" w:ascii="宋体" w:hAnsi="宋体" w:eastAsia="宋体" w:cs="Helvetica"/>
          <w:b/>
          <w:bCs/>
          <w:color w:val="000000"/>
          <w:spacing w:val="-10"/>
          <w:kern w:val="0"/>
          <w:sz w:val="44"/>
          <w:szCs w:val="44"/>
          <w:shd w:val="clear" w:color="auto" w:fill="FFFFFF"/>
        </w:rPr>
        <w:t>民政部办公厅关于印发《2021年中央财政支持社会组织参与社会服务项目实施方案》的通知</w:t>
      </w:r>
    </w:p>
    <w:p>
      <w:pPr>
        <w:widowControl w:val="0"/>
        <w:shd w:val="clear" w:color="auto" w:fill="FFFFFF"/>
        <w:wordWrap/>
        <w:adjustRightInd/>
        <w:snapToGrid/>
        <w:spacing w:before="0" w:after="0" w:line="600" w:lineRule="exact"/>
        <w:ind w:left="0" w:leftChars="0" w:right="0"/>
        <w:jc w:val="center"/>
        <w:textAlignment w:val="auto"/>
        <w:outlineLvl w:val="9"/>
        <w:rPr>
          <w:rFonts w:ascii="Helvetica" w:hAnsi="Helvetica" w:eastAsia="宋体" w:cs="Helvetica"/>
          <w:color w:val="000000"/>
          <w:kern w:val="0"/>
          <w:sz w:val="28"/>
          <w:szCs w:val="28"/>
        </w:rPr>
      </w:pPr>
      <w:r>
        <w:rPr>
          <w:rFonts w:hint="eastAsia" w:ascii="宋体" w:hAnsi="宋体" w:eastAsia="宋体" w:cs="Helvetica"/>
          <w:b/>
          <w:bCs/>
          <w:color w:val="000000"/>
          <w:kern w:val="0"/>
          <w:sz w:val="28"/>
          <w:szCs w:val="28"/>
          <w:shd w:val="clear" w:color="auto" w:fill="FFFFFF"/>
        </w:rPr>
        <w:t>民办函〔2021〕48号</w:t>
      </w:r>
    </w:p>
    <w:p>
      <w:pPr>
        <w:widowControl w:val="0"/>
        <w:shd w:val="clear" w:color="auto" w:fill="FFFFFF"/>
        <w:wordWrap/>
        <w:adjustRightInd/>
        <w:snapToGrid/>
        <w:spacing w:before="0" w:after="0" w:line="600" w:lineRule="exact"/>
        <w:ind w:left="0" w:leftChars="0" w:right="0" w:firstLine="560"/>
        <w:textAlignment w:val="auto"/>
        <w:outlineLvl w:val="9"/>
        <w:rPr>
          <w:rFonts w:ascii="Helvetica" w:hAnsi="Helvetica" w:eastAsia="宋体" w:cs="Helvetica"/>
          <w:color w:val="000000"/>
          <w:kern w:val="0"/>
          <w:sz w:val="24"/>
          <w:szCs w:val="24"/>
        </w:rPr>
      </w:pPr>
      <w:r>
        <w:rPr>
          <w:rFonts w:hint="eastAsia" w:ascii="宋体" w:hAnsi="宋体" w:eastAsia="宋体" w:cs="Helvetica"/>
          <w:color w:val="000000"/>
          <w:kern w:val="0"/>
          <w:sz w:val="28"/>
          <w:szCs w:val="28"/>
          <w:shd w:val="clear" w:color="auto" w:fill="FFFFFF"/>
        </w:rPr>
        <w:t> </w:t>
      </w:r>
    </w:p>
    <w:p>
      <w:pPr>
        <w:widowControl w:val="0"/>
        <w:shd w:val="clear" w:color="auto" w:fill="FFFFFF"/>
        <w:wordWrap/>
        <w:adjustRightInd/>
        <w:snapToGrid/>
        <w:spacing w:before="0" w:after="0" w:line="600" w:lineRule="exact"/>
        <w:ind w:left="0" w:leftChars="0" w:right="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各省、自治区、直辖市民政厅（局），各计划单列市民政局，新疆生产建设兵团民政局；各社会组织：</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为加强中央财政支持社会组织参与社会服务项目（以下简称项目）的示范引领，提升项目管理规范化水平和资金使用效率，根据《财政部 民政部关于印发&lt;中央财政支持社会组织参与社会服务项目资金使用管理办法&gt;的通知》（财社〔2012〕138号），我部制定了《2021年中央财政支持社会组织参与社会服务项目实施方案》，现予印发。</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项目通过竞争选择、优中选优方式，资助全国性社会组织、有较大影响力的地方性社会组织在相关重点地区开展社会服务。项目通过信息系统申报，其中，B类项目由全国性社会组织直接向民政部申报，项目申报截止日期为2021年7月31日；A、C、D类项目由地方性社会组织向项目实施地的省级民政部门申报，经实施地省级民政部门接收申报材料并组织评审后上报，上报截止日期为2021年8月10日。</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项目实施地省级民政部门对照项目实施方案，认真组织相应项目申报。要严格把关项目内容，做到业务领域精准、资金使用精准、配套保障精准。要严格组织项目评审，履行“三重一大”程序，加强过程指导管理，确保项目质量效益。</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符合申报条件的社会组织结合组织章程与自身优势，积极参与项目申报。要量力而行、尽力而为，对照项目实施方案，认真谋划，科学设计，确保项目可行性。获得立项的社会组织要严字当头、干字托底，规范、高效、透明执行项目，为保障和改善民生、全面建设社会主义现代化国家作出积极贡献。</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 </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附件：1.2021年中央财政支持社会组织参与社会服务项目实</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施方案         </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2.2021年中央财政支持社会组织参与社会服务项目申</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报办法         </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3.2021年中央财政支持社会组织参与社会服务项目执</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行办法         </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4.2021年中央财政支持社会组织参与社会服务项目人</w:t>
      </w:r>
    </w:p>
    <w:p>
      <w:pPr>
        <w:widowControl w:val="0"/>
        <w:shd w:val="clear" w:color="auto" w:fill="FFFFFF"/>
        <w:wordWrap/>
        <w:adjustRightInd/>
        <w:snapToGrid/>
        <w:spacing w:before="0" w:after="0" w:line="600" w:lineRule="exact"/>
        <w:ind w:left="0" w:leftChars="0" w:right="0" w:firstLine="56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员培训示范项目管理办法</w:t>
      </w: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 </w:t>
      </w: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民政部办公厅</w:t>
      </w: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2021年7月12日</w:t>
      </w: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附件1</w:t>
      </w: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2021年中央财政支持社会组织参与社会</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服务项目实施方案</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民政部关于印发&lt;中央财政支持社会组织参与社会服务项目资金使用管理办法&gt;的通知》（财社〔2012〕138号），制定本实施方案。 </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一、资金性质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项目资金由中央财政专项安排，用于支持社会组织参与社会服务。</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二、资助类型</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发展示范项目（A类）。用于资助西藏及涉藏工作重点省份、新疆维吾尔自治区、新疆生产建设兵团、民政部定点帮扶和对口支援地区等地区困难社会组织、社区社会组织必要的服务设备购置和服务设施完善。项目总数24个左右，每个项目资金不超过5万元。</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承接社会服务试点项目（B类）。用于资助在民政部登记的全国性社会组织在西藏及涉藏工作重点省份、新疆维吾尔自治区、新疆生产建设兵团、民政部定点帮扶和对口支援地区等地区开展未成年人保护，孤儿、农村留守儿童和困境儿童关爱服务，农村留守妇女关爱服务等社会服务。项目总数10个左右，每个项目资金不超过80万元；每个项目应在两个及以上省份（含新疆生产建设兵团）开展社会服务。</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社会工作服务示范项目（C类）。用于资助地方性社会组织开展未成年人保护，孤儿、农村留守儿童和困境儿童关爱服务，农村留守妇女关爱服务的社会工作专业服务项目。项目总数57个左右，原则上每个省份（含新疆生产建设兵团、计划单列市）1-2个，每个项目资金不超过40万元。</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人员培训示范项目（D类）。主要面向社区社会组织负责人、骨干人才开展培训。项目主要对培训所需的食宿、交通、教材、师资等予以补助；除师资费外，平均每人每天费用不超过550元。项目总数37个左右，原则上每个省份（含新疆生产建设兵团、计划单列市）1个，每个项目资金不超过30万元。</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三、资助范围</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资助的未成年人保护，主要提供未成年人保护方面的家庭监护支持、家庭监护监督、监护能力评估、家庭教育指导，以及涉及未成年人案件中未成年人的心理干预、法律援助、社会调查、社会观护、教育矫治、社区矫正等具体服务。</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资助的孤儿、农村留守儿童、困境儿童关爱服务，主要面向社会散居孤儿、事实无人抚养儿童、农村留守儿童、困境儿童等特殊儿童群体及其家庭开展的家庭教育指导、监护能力提升、心理健康服务、行为矫治、社会融入、家庭关系调适和调查评估、监护干预等个性化服务，以及针对社会散居孤儿、事实无人抚养儿童中的残疾儿童和家庭困难的残疾儿童开展的儿童康复训练、特殊教育等具体服务。</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项目资助的农村留守妇女关爱服务，主要面向农村留守妇女提供就业创业指导、文化体育活动、精神慰藉、权益维护、家庭教育指导等具体服务。</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项目不资助向受益对象发放救助款、奖学金和补贴、研究、宣传图书赠送、投资、户外活动、考察旅游、软件系统开发、种殖养殖、基建、购置设备和服务设施（A类项目除外）、培训（D类项目除外）等活动。</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四、申报条件</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申报项目的社会组织应具备以下基本条件：</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（一）符合建立党组织条件的建立党组织，并将党的建设和社会主义核心价值观载入社会组织章程；</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（二）在民政部门登记成立，且2019年度检查合格；</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（三）有相应的配套经费来源；</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（四）有完善的组织机构；</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（五）有健全的财务制度和独立的银行账号；</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（六）有健全的工作队伍和较好的执行能力；</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（七）有开展社会服务的能力和条件，且已具备实施社会服务项目的经验和良好信誉，鼓励社会组织评估等级为3A及以上的社会组织视情申报；</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（八）申报B类项目的应为全国性社会组织。</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五、项目申报</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各申报单位应当在中国社会组织政务服务平台（www.chinanpo.gov.cn）或久其软件官方网站服务支持下载专区（www.jiuqi.com.cn）下载并安装项目信息管理系统，按照填报说明填写并导出电子申报书，并按照相关程序报送民政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每个社会组织最多申报1个项目；如不同社会组织的法定代表人是同一人的，最多只能申报1个项目。</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 六、项目评审和立项</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评审。民政部、项目实施地省级民政部门组织专家对相应的申报项目进行评审，包括申报项目的主要内容、实施地域、受益对象、预算的编列、社会和地方财政资金的配套等情况。项目评审中，优先考虑项目的示范作用发挥及实际可操作性。</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（二）立项。民政部根据评审专家评审结论，审核立项建议名单后予以立项，确定项目执行单位。</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（三）预算编制审核。民政部对立项项目预算进行审核，予以认可或者提出调整意见。</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七、项目材料报送</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获得立项的社会组织于立项公告发布之日起10个工作日内，按程序向民政部报送以下材料（一式三份）：</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（一）由项目信息管理系统直接打印的纸质申报书，并经法定代表人签字、单位盖章（立项资金与申报资金有变化的，无需改动）；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（二）盖有年检结论的登记证书副本、银行开户文件、荣誉证书、评估等级证明等相关材料复印件；</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（三）经法定代表人签字盖章的配套资金承诺书；</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（四）预算经初审后有调整的，应当同时报送单位盖章的《初审调整预算审批表》和《初审调整预算情况表》。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未按期报送或纸质申报书、电子申报书内容不符的，取消立项。批准立项资金金额少于申报金额的，立项单位可以同比缩减项目执行规模和配套资金金额。</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八、项目管理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（一）严格资金管理。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项目资金分两次拨付，项目公告立项之日起15个工作日内，民政部按程序拨付70%的资金；项目中期报告获得通过后，拨付剩余30%的资金。</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单位应加强前期调研准备工作，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任何单位不得以任何名义从项目资金中提取管理费。</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（二）严格进度管理。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执行单位要遵守相关承诺，履行约定义务，按期完成项目。项目一经立项，不得分包、转包，不得无故调整。项目在执行过程中由于特殊原因需要终止、撤销、变更的，须按程序报批。除不可抗力因素外，所有项目均应于2021年内完成。其中，2021年10月31日前，应完成项目资金和社会服务活动执行的50%，并于11月10日前向民政部报送中期报告，同时抄送项目实施地民政部门。项目执行单位应当于2021年12月31日前，完成项目全部资金和社会服务活动的执行，并于2022年1月10日前向民政部报送末期报告，同时抄送项目实施地民政部门，内容包括：项目执行情况、实施效果、自我评估报告、宣传情况等。项目实施地省级民政部门于2022年1月15日前向民政部报送本地区项目管理和执行总结报告。</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（三）严格审计评估。</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民政部将不定期对各项目资金使用管理等情况进行检查，引入社会审计和评估，委托第三方专业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并取消项目执行单位后续申报资格，并由登记管理机关给予当年年检不合格结论。</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（四）严格社会监督。</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各项目执行单位要及时收集视频、音频素材，建立专门项目宣传档案，在开展项目宣传活动、发放资料及配发物品上要注明“中央财政支持社会组织示范项目（2021）”标识，并通过广播、电视、报刊、网络等新闻媒体宣传项目活动情况，接受社会监督。</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民政部、项目实施地省级民政部门通过广播、电视、报刊、网络等新闻媒体宣传项目的意义、资助内容和申请办法，及时宣传报道项目开展情况和社会效益，引导社会组织参与社会服务，履行社会责任，为社会组织发挥积极作用创造良好的社会舆论氛围。同时，</w:t>
      </w:r>
      <w:r>
        <w:rPr>
          <w:rFonts w:hint="eastAsia" w:ascii="仿宋" w:hAnsi="仿宋" w:eastAsia="仿宋" w:cs="仿宋"/>
          <w:color w:val="000000"/>
          <w:spacing w:val="8"/>
          <w:sz w:val="28"/>
          <w:szCs w:val="28"/>
          <w:shd w:val="clear" w:color="auto" w:fill="FFFFFF"/>
        </w:rPr>
        <w:t>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spacing w:val="8"/>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92"/>
        <w:jc w:val="both"/>
        <w:textAlignment w:val="auto"/>
        <w:outlineLvl w:val="9"/>
        <w:rPr>
          <w:rFonts w:hint="eastAsia" w:ascii="仿宋" w:hAnsi="仿宋" w:eastAsia="仿宋" w:cs="仿宋"/>
          <w:color w:val="000000"/>
        </w:rPr>
      </w:pPr>
      <w:r>
        <w:rPr>
          <w:rFonts w:hint="eastAsia" w:ascii="仿宋" w:hAnsi="仿宋" w:eastAsia="仿宋" w:cs="仿宋"/>
          <w:color w:val="000000"/>
          <w:spacing w:val="8"/>
          <w:sz w:val="28"/>
          <w:szCs w:val="28"/>
          <w:shd w:val="clear" w:color="auto" w:fill="FFFFFF"/>
        </w:rPr>
        <w:t> </w:t>
      </w: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pacing w:val="8"/>
          <w:sz w:val="32"/>
          <w:szCs w:val="32"/>
          <w:shd w:val="clear" w:color="auto" w:fill="FFFFFF"/>
        </w:rPr>
      </w:pPr>
      <w:r>
        <w:rPr>
          <w:rFonts w:hint="eastAsia" w:ascii="黑体" w:hAnsi="黑体" w:eastAsia="黑体" w:cs="黑体"/>
          <w:b w:val="0"/>
          <w:bCs w:val="0"/>
          <w:color w:val="000000"/>
          <w:spacing w:val="8"/>
          <w:sz w:val="32"/>
          <w:szCs w:val="32"/>
          <w:shd w:val="clear" w:color="auto" w:fill="FFFFFF"/>
        </w:rPr>
        <w:t>附件2</w:t>
      </w: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pacing w:val="8"/>
          <w:sz w:val="32"/>
          <w:szCs w:val="32"/>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pacing w:val="8"/>
          <w:sz w:val="44"/>
          <w:szCs w:val="44"/>
          <w:shd w:val="clear" w:color="auto" w:fill="FFFFFF"/>
        </w:rPr>
      </w:pPr>
      <w:r>
        <w:rPr>
          <w:rFonts w:hint="eastAsia" w:ascii="宋体" w:hAnsi="宋体" w:eastAsia="宋体" w:cs="宋体"/>
          <w:b/>
          <w:bCs/>
          <w:color w:val="000000"/>
          <w:spacing w:val="8"/>
          <w:sz w:val="44"/>
          <w:szCs w:val="44"/>
          <w:shd w:val="clear" w:color="auto" w:fill="FFFFFF"/>
        </w:rPr>
        <w:t>2021年中央财政支持社会组织参与社会</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pacing w:val="8"/>
          <w:sz w:val="44"/>
          <w:szCs w:val="44"/>
          <w:shd w:val="clear" w:color="auto" w:fill="FFFFFF"/>
        </w:rPr>
      </w:pPr>
      <w:r>
        <w:rPr>
          <w:rFonts w:hint="eastAsia" w:ascii="宋体" w:hAnsi="宋体" w:eastAsia="宋体" w:cs="宋体"/>
          <w:b/>
          <w:bCs/>
          <w:color w:val="000000"/>
          <w:spacing w:val="8"/>
          <w:sz w:val="44"/>
          <w:szCs w:val="44"/>
          <w:shd w:val="clear" w:color="auto" w:fill="FFFFFF"/>
        </w:rPr>
        <w:t>服务项目申报办法</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pacing w:val="8"/>
          <w:sz w:val="44"/>
          <w:szCs w:val="44"/>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2021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申报单位确定申报项目后，应当在中国社会组织政务服务平台（www.chinanpo.gov.cn）或久其软件官方网站服务支持下载专区（www.jiuqi.com.cn）中下载并安装项目信息管理系统和使用说明，按照使用说明完整填写电子申报书，并导出JIO格式项目申报书电子文件。</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请。</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全国性社会组织直接通过项目信息管理系统填写并导出JIO格式项目申报书电子文件，以电子邮件方式于7月31日前报送民政部。地方性社会组织应当将JIO格式项目申报书电子文件按照项目实施地省级民政部门具体要求向其报送，由项目实施地省级民政部门评审后按要求通过项目信息管理系统排序、汇总后以电子邮件方式于8月10日前报送民政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调整预算建议表》和《项目预算调整表》。B类项目由全国性社会组织直接向民政部报送纸质材料；A、C、D类项目由地方性社会组织向项目实施地省级民政部门报送纸质材料，项目实施地省级民政部门将纸质材料汇总后统一报送民政部。未按期报送或纸质材料与电子申报书内容不符的，将取消该申报单位立项资格。批准立项资金金额少于申报金额的，立项单位可以同比缩减项目执行规模和配套资金金额。</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七、项目申报书应当重点说明项目可量化、可评估的实施效益和预期成果。申报单位应当按照进度安排，科学规划项目各实施阶段预期达到的目标，除受到不可抗力等因素影响外，确保与实际进度一致。</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八、每个社会组织每年只能申报1个项目。</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九、项目申报书为项目实施的格式合同，申报单位必须保证其真实性和严肃性。对违反规定使用项目资金的，依据《财政违法行为处罚处分条例》（国务院令第427号）等有关规定追究责任。</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通讯地址：</w:t>
      </w:r>
      <w:r>
        <w:rPr>
          <w:rFonts w:hint="eastAsia" w:ascii="仿宋" w:hAnsi="仿宋" w:eastAsia="仿宋" w:cs="仿宋"/>
          <w:color w:val="000000"/>
          <w:spacing w:val="-15"/>
          <w:sz w:val="28"/>
          <w:szCs w:val="28"/>
          <w:shd w:val="clear" w:color="auto" w:fill="FFFFFF"/>
        </w:rPr>
        <w:t>北京市朝阳区建国门南大街6号民政部6-411室  </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邮政编码：100721</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联系电话：010-58123284</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软件技术咨询电话：400-119-9797</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邮    箱：xiangmuban20212021＠163.com</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网    址：</w:t>
      </w:r>
      <w:r>
        <w:rPr>
          <w:rFonts w:hint="eastAsia" w:ascii="仿宋" w:hAnsi="仿宋" w:eastAsia="仿宋" w:cs="仿宋"/>
        </w:rPr>
        <w:fldChar w:fldCharType="begin"/>
      </w:r>
      <w:r>
        <w:rPr>
          <w:rFonts w:hint="eastAsia" w:ascii="仿宋" w:hAnsi="仿宋" w:eastAsia="仿宋" w:cs="仿宋"/>
        </w:rPr>
        <w:instrText xml:space="preserve">HYPERLINK "http://www.chinanpo.gov.cn/" </w:instrText>
      </w:r>
      <w:r>
        <w:rPr>
          <w:rFonts w:hint="eastAsia" w:ascii="仿宋" w:hAnsi="仿宋" w:eastAsia="仿宋" w:cs="仿宋"/>
        </w:rPr>
        <w:fldChar w:fldCharType="separate"/>
      </w:r>
      <w:r>
        <w:rPr>
          <w:rStyle w:val="6"/>
          <w:rFonts w:hint="eastAsia" w:ascii="仿宋" w:hAnsi="仿宋" w:eastAsia="仿宋" w:cs="仿宋"/>
          <w:sz w:val="28"/>
          <w:szCs w:val="28"/>
          <w:shd w:val="clear" w:color="auto" w:fill="FFFFFF"/>
        </w:rPr>
        <w:t>www.chinanpo.gov.cn</w:t>
      </w:r>
      <w:r>
        <w:rPr>
          <w:rFonts w:hint="eastAsia" w:ascii="仿宋" w:hAnsi="仿宋" w:eastAsia="仿宋" w:cs="仿宋"/>
        </w:rPr>
        <w:fldChar w:fldCharType="end"/>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 </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仿宋" w:hAnsi="仿宋" w:eastAsia="仿宋" w:cs="仿宋"/>
          <w:b/>
          <w:bCs/>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附件3</w:t>
      </w: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2021年中央财政支持社会组织参与社会</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服务项目执行办法</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sz w:val="28"/>
          <w:szCs w:val="28"/>
          <w:shd w:val="clear" w:color="auto" w:fill="FFFFFF"/>
        </w:rPr>
        <w:t>一、执行原则</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项目执行单位要遵守相关承诺，履行约定义务，按期完成项目。项目一经立项，不得分包、转包，无特殊情况不得调整。项目在执行过程中由于特殊原因需要终止、撤销、变更的，须按程序批准。</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二、进度要求</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（一）除不可抗力因素外，所有项目均应当于2021年内完成。</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项目执行单位应当于2021年10月31日前完成项目资金和社会服务活动执行的50%，并于11月10日前报送中期报告，同时抄送项目实施地各级民政部门。内容包括：项目基本情况、管理情况、执行情况、宣传情况等。项目中期报告获得通过的，拨付剩余30%项目资金。</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项目执行单位应当于2021年12月31日前，完成项目全部资金和社会服务活动的执行，并于2022年1月10日前报送末期报告，同时抄送项目实施地民政部门。内容包括：项目执行情况、实施效果、自我评估报告、宣传情况等。报告应由项目执行单位法定代表人签字并加盖社会组织印章。</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项目的中期报告和末期报告（含电子文件），全国性社会组织直接报民政部；地方性社会组织向项目实施地省级民政部门报送，由其集中汇总后统一报送民政部。项目实施地省级民政部门还应于2022年1月15日前向民政部报送本地区项目管理和执行总结报告。</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三、项目管理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（一）项目执行单位应当按照相关制度要求，建立健全项目资金专项财务管理和会计核算制度，纳入单位财务统一管理，单独核算，便于追踪问效和监督检查。</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项目执行单位应当保证项目资金的安全和正确使用，严格按照申报用途、规定范围和开支标准使用资金，不得无票据报销费用，不得用于向受益对象发放救助款、奖学金和补贴、购买或修建楼堂馆所、缴纳罚款罚金、偿还债务、对外投资、购买汽车、开发软件、考察旅游、户外活动等支出，不得以任何形式挤占、截留、挪用项目资金。任何单位不得以任何名义从项目资金中提取管理费。</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（三）项目执行单位应规范资金审批流程、支付方式，不得使用大额现金支付，保证资金报销资料完整、规范。</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（四）项目资金应当用于受益对象和社会服务活动，以服务受益对象和社会服务活动为基础编列预算。预算的金额和标准应当符合实际，并接受社会监督。</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五）A类项目可以列支电脑、打印机、传真机、复印机等必要的办公设备、服务设施，所购买设备和设施须在政府采购商品目录，列入社会组织固定资产名录，并须用于开展社会服务活动；设备和设施发票须报民政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六）项目活动确需召开会议的，应当列出会议天数、人数，会议所有经费控制在每人每天550元以内，应保留会议通知、议程、照片、签到表、发票和消费明细等备查，且在项目执行费用中列支会议费用。开展培训的D类项目，应在申报时明确培训内容并列出培训期数，每期的培训天数、人数和每天的培训经费预算。除师资费外，培训经费控制在每人每天550元以内。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（七）项目执行单位应加强配套资金管理，保证项目配套资金及时到位、足额投入使用。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（八）项目执行单位均需履行受益对象确认程序，由受益对象或其监护人填写《受益对象确认书》，做到内容完整、程序规范、真实有效，妥善保管确认书以备评估、审计等监督检查。</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（九）项目在执行过程中，执行单位如有名称、银行账号、开户行等重要信息变更，须尽快向民政部报备。</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（十）项目执行单位应当接受民政、财政、审计、纪检等部门的监督，配合第三方审计、评估和财政支出绩效评价。</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四、宣传总结</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同时，要</w:t>
      </w:r>
      <w:r>
        <w:rPr>
          <w:rFonts w:hint="eastAsia" w:ascii="仿宋" w:hAnsi="仿宋" w:eastAsia="仿宋" w:cs="仿宋"/>
          <w:color w:val="000000"/>
          <w:spacing w:val="8"/>
          <w:sz w:val="28"/>
          <w:szCs w:val="28"/>
          <w:shd w:val="clear" w:color="auto" w:fill="FFFFFF"/>
        </w:rPr>
        <w:t>强化社会监督，鼓励支持新闻媒体、社会公众对社会组织进行监督，通过“中国社会组织政务服务平台”的“全国社会组织投诉举报系统”提供涉嫌违规立项、执行等线索。</w:t>
      </w:r>
      <w:r>
        <w:rPr>
          <w:rFonts w:hint="eastAsia" w:ascii="仿宋" w:hAnsi="仿宋" w:eastAsia="仿宋" w:cs="仿宋"/>
          <w:color w:val="000000"/>
          <w:sz w:val="28"/>
          <w:szCs w:val="28"/>
          <w:shd w:val="clear" w:color="auto" w:fill="FFFFFF"/>
        </w:rPr>
        <w:t>项目实施地省级民政部门视情树立项目典型，制定宣传总结方案，向民政部报送、转送项目执行情况。</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项目执行单位要及时收集视频、音频素材，建立专门的项目宣传档案，在开展项目宣传活动、发放资料及配发物品上要注明“中央财政支持社会组织示范项目（2021）”标识，并通过广播、电视、报刊、网络等新闻媒体宣传项目活动情况，接受社会监督。</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附件4</w:t>
      </w:r>
    </w:p>
    <w:p>
      <w:pPr>
        <w:pStyle w:val="7"/>
        <w:widowControl w:val="0"/>
        <w:shd w:val="clear" w:color="auto" w:fill="FFFFFF"/>
        <w:wordWrap/>
        <w:adjustRightInd/>
        <w:snapToGrid/>
        <w:spacing w:before="0" w:beforeAutospacing="0" w:after="0" w:afterAutospacing="0" w:line="600" w:lineRule="exact"/>
        <w:ind w:left="0" w:leftChars="0" w:right="0"/>
        <w:jc w:val="left"/>
        <w:textAlignment w:val="auto"/>
        <w:outlineLvl w:val="9"/>
        <w:rPr>
          <w:rFonts w:hint="eastAsia" w:ascii="黑体" w:hAnsi="黑体" w:eastAsia="黑体" w:cs="黑体"/>
          <w:b w:val="0"/>
          <w:bCs w:val="0"/>
          <w:color w:val="000000"/>
          <w:sz w:val="28"/>
          <w:szCs w:val="28"/>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2021年中央财政支持社会组织参与社会</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r>
        <w:rPr>
          <w:rFonts w:hint="eastAsia" w:ascii="宋体" w:hAnsi="宋体" w:eastAsia="宋体" w:cs="宋体"/>
          <w:b/>
          <w:bCs/>
          <w:color w:val="000000"/>
          <w:sz w:val="44"/>
          <w:szCs w:val="44"/>
          <w:shd w:val="clear" w:color="auto" w:fill="FFFFFF"/>
        </w:rPr>
        <w:t>服务项目人员培训示范项目管理办法</w:t>
      </w:r>
    </w:p>
    <w:p>
      <w:pPr>
        <w:pStyle w:val="7"/>
        <w:widowControl w:val="0"/>
        <w:shd w:val="clear" w:color="auto" w:fill="FFFFFF"/>
        <w:wordWrap/>
        <w:adjustRightInd/>
        <w:snapToGrid/>
        <w:spacing w:before="0" w:beforeAutospacing="0" w:after="0" w:afterAutospacing="0" w:line="600" w:lineRule="exact"/>
        <w:ind w:left="0" w:leftChars="0" w:right="0"/>
        <w:jc w:val="center"/>
        <w:textAlignment w:val="auto"/>
        <w:outlineLvl w:val="9"/>
        <w:rPr>
          <w:rFonts w:hint="eastAsia" w:ascii="宋体" w:hAnsi="宋体" w:eastAsia="宋体" w:cs="宋体"/>
          <w:b/>
          <w:bCs/>
          <w:color w:val="000000"/>
          <w:sz w:val="44"/>
          <w:szCs w:val="44"/>
          <w:shd w:val="clear" w:color="auto" w:fill="FFFFFF"/>
        </w:rPr>
      </w:pP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一、项目目标</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着力推进社区社会组织工作相关培训。通过人员培训示范项目，重点面向社区社会组织负责人、骨干人才等宣传党中央有关社区社会组织工作要求，普及社会组织法律法规，引导社区社会组织提升质量、优化结构、健全制度，在加强和创新基层社会治理中更好发挥作用。</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二、培训对象</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主要对社区社会组织负责人、骨干人才等进行培训。各地可根据实际情况，合理安排培训对象。</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三、培训内容和课程</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1.习近平新时代中国特色社会主义思想，习近平总书记在庆祝中国共产党成立100周年大会上的重要讲话精神；</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2.党中央培育发展社区社会组织、推动社会组织健康有序发展相关决策部署；</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3.社区社会组织党的建设；</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4.社区社会组织筹资和财务管理；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5.社区社会组织项目管理；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6.社区社会组织内部治理和规范建设；</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7.政府向社会组织购买服务制度；</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8.社区社会组织发展和发挥作用案例分析。</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各地可根据实际情况，设计、调整相关课程。</w:t>
      </w:r>
    </w:p>
    <w:p>
      <w:pPr>
        <w:pStyle w:val="7"/>
        <w:widowControl w:val="0"/>
        <w:shd w:val="clear" w:color="auto" w:fill="FFFFFF"/>
        <w:wordWrap/>
        <w:adjustRightInd/>
        <w:snapToGrid/>
        <w:spacing w:before="0" w:beforeAutospacing="0" w:after="0" w:afterAutospacing="0" w:line="600" w:lineRule="exact"/>
        <w:ind w:left="0" w:leftChars="0" w:right="0" w:firstLine="562"/>
        <w:jc w:val="both"/>
        <w:textAlignment w:val="auto"/>
        <w:outlineLvl w:val="9"/>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四、项目管理</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（一）各省级民政部门应当制定培训计划，统筹安排培训任务，精心设计培训课程，组织师资力量指导、监督培训承办单位做好具体培训工作。各省级民政部门可以联合社会组织共同申请和执行。</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（二）每期培训需进行培训总结，汇总学员意见和建议。</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考虑疫情影响和培训实际，各省级民政部门可以更多组织线上培训课程，提升培训频次和覆盖范围。</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（三）支付标准：除师资费外，食宿、交通、会议室、材料等费用每人每天550元以内；线上课程在标准范围内按实际发生支付费用。</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（四）培训应当厉行节约、反对浪费，规范简朴、务实高效，符合中央八项规定精神和实施细则有关要求。</w:t>
      </w:r>
    </w:p>
    <w:p>
      <w:pPr>
        <w:pStyle w:val="7"/>
        <w:widowControl w:val="0"/>
        <w:shd w:val="clear" w:color="auto" w:fill="FFFFFF"/>
        <w:wordWrap/>
        <w:adjustRightInd/>
        <w:snapToGrid/>
        <w:spacing w:before="0" w:beforeAutospacing="0" w:after="0" w:afterAutospacing="0" w:line="600" w:lineRule="exact"/>
        <w:ind w:left="0" w:leftChars="0" w:right="0" w:firstLine="560"/>
        <w:jc w:val="both"/>
        <w:textAlignment w:val="auto"/>
        <w:outlineLvl w:val="9"/>
        <w:rPr>
          <w:rFonts w:hint="eastAsia" w:ascii="仿宋" w:hAnsi="仿宋" w:eastAsia="仿宋" w:cs="仿宋"/>
          <w:color w:val="000000"/>
        </w:rPr>
      </w:pPr>
      <w:r>
        <w:rPr>
          <w:rFonts w:hint="eastAsia" w:ascii="仿宋" w:hAnsi="仿宋" w:eastAsia="仿宋" w:cs="仿宋"/>
          <w:color w:val="000000"/>
          <w:sz w:val="28"/>
          <w:szCs w:val="28"/>
          <w:shd w:val="clear" w:color="auto" w:fill="FFFFFF"/>
        </w:rPr>
        <w:t>（五）民政部将根据工作安排，组织人员对项目执行情况进行检查、指导。</w:t>
      </w:r>
    </w:p>
    <w:p>
      <w:pPr>
        <w:widowControl w:val="0"/>
        <w:wordWrap/>
        <w:adjustRightInd/>
        <w:snapToGrid/>
        <w:spacing w:before="0" w:after="0" w:line="600" w:lineRule="exact"/>
        <w:ind w:left="0" w:leftChars="0" w:right="0"/>
        <w:textAlignment w:val="auto"/>
        <w:outlineLvl w:val="9"/>
        <w:rPr>
          <w:rFonts w:hint="eastAsia" w:ascii="仿宋" w:hAnsi="仿宋" w:eastAsia="仿宋" w:cs="仿宋"/>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left="0" w:leftChars="0" w:right="0" w:firstLine="560"/>
        <w:jc w:val="right"/>
        <w:textAlignment w:val="auto"/>
        <w:outlineLvl w:val="9"/>
        <w:rPr>
          <w:rFonts w:hint="eastAsia" w:ascii="仿宋" w:hAnsi="仿宋" w:eastAsia="仿宋" w:cs="仿宋"/>
          <w:color w:val="000000"/>
          <w:kern w:val="0"/>
          <w:sz w:val="32"/>
          <w:szCs w:val="32"/>
          <w:shd w:val="clear" w:color="auto" w:fill="FFFFFF"/>
        </w:rPr>
      </w:pPr>
    </w:p>
    <w:p>
      <w:pPr>
        <w:widowControl w:val="0"/>
        <w:shd w:val="clear" w:color="auto" w:fill="FFFFFF"/>
        <w:wordWrap/>
        <w:adjustRightInd/>
        <w:snapToGrid/>
        <w:spacing w:before="0" w:after="0" w:line="600" w:lineRule="exact"/>
        <w:ind w:right="0"/>
        <w:jc w:val="both"/>
        <w:textAlignment w:val="auto"/>
        <w:outlineLvl w:val="9"/>
        <w:rPr>
          <w:rFonts w:hint="eastAsia" w:ascii="仿宋" w:hAnsi="仿宋" w:eastAsia="仿宋" w:cs="仿宋"/>
          <w:color w:val="000000"/>
          <w:kern w:val="0"/>
          <w:sz w:val="32"/>
          <w:szCs w:val="32"/>
          <w:shd w:val="clear" w:color="auto" w:fill="FFFFFF"/>
        </w:rPr>
      </w:pPr>
      <w:bookmarkStart w:id="0" w:name="_GoBack"/>
      <w:bookmarkEnd w:id="0"/>
    </w:p>
    <w:sectPr>
      <w:footerReference r:id="rId4"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Helvetica">
    <w:altName w:val="Microsoft Sans Serif"/>
    <w:panose1 w:val="020B0604020202020204"/>
    <w:charset w:val="00"/>
    <w:family w:val="auto"/>
    <w:pitch w:val="default"/>
    <w:sig w:usb0="E0002AFF" w:usb1="C0007843" w:usb2="00000009" w:usb3="00000000" w:csb0="000001FF"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0"/>
    <w:rPr>
      <w:color w:val="0000FF"/>
      <w:u w:val="single"/>
    </w:rPr>
  </w:style>
  <w:style w:type="paragraph" w:customStyle="1" w:styleId="7">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jtt</Company>
  <Pages>1</Pages>
  <Words>128</Words>
  <Characters>735</Characters>
  <Lines>6</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2021-07-19T08:10:00Z</dcterms:created>
  <dc:creator>未定义</dc:creator>
  <cp:lastModifiedBy>未定义</cp:lastModifiedBy>
  <cp:lastPrinted>2021-07-19T08:13:00Z</cp:lastPrinted>
  <dcterms:modified xsi:type="dcterms:W3CDTF">2021-07-20T01:35:48Z</dcterms:modified>
  <dc:title>民政部办公厅关于印发《2021年中央财政支持社会组织参与社会服务项目实施方案》的通知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