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wordWrap/>
        <w:adjustRightInd/>
        <w:snapToGrid/>
        <w:spacing w:before="0" w:beforeLines="0" w:line="480" w:lineRule="auto"/>
        <w:ind w:left="0" w:leftChars="0" w:right="0" w:firstLine="0" w:firstLineChars="0"/>
        <w:jc w:val="left"/>
        <w:textAlignment w:val="auto"/>
        <w:outlineLvl w:val="9"/>
        <w:rPr>
          <w:rFonts w:hint="eastAsia" w:ascii="宋体" w:hAnsi="宋体" w:eastAsia="宋体" w:cs="宋体"/>
          <w:b w:val="0"/>
          <w:bCs/>
          <w:sz w:val="32"/>
          <w:szCs w:val="32"/>
          <w:lang w:eastAsia="zh-CN"/>
        </w:rPr>
      </w:pPr>
      <w:r>
        <w:rPr>
          <w:rFonts w:hint="eastAsia" w:ascii="宋体" w:hAnsi="宋体" w:cs="宋体"/>
          <w:b w:val="0"/>
          <w:bCs/>
          <w:sz w:val="32"/>
          <w:szCs w:val="32"/>
          <w:lang w:eastAsia="zh-CN"/>
        </w:rPr>
        <w:t>附件</w:t>
      </w:r>
      <w:r>
        <w:rPr>
          <w:rFonts w:hint="eastAsia" w:ascii="宋体" w:hAnsi="宋体" w:cs="宋体"/>
          <w:b w:val="0"/>
          <w:bCs/>
          <w:sz w:val="32"/>
          <w:szCs w:val="32"/>
          <w:lang w:val="en-US" w:eastAsia="zh-CN"/>
        </w:rPr>
        <w:t>2</w:t>
      </w:r>
    </w:p>
    <w:p>
      <w:pPr>
        <w:widowControl w:val="0"/>
        <w:wordWrap/>
        <w:adjustRightInd/>
        <w:snapToGrid/>
        <w:spacing w:before="0" w:beforeLines="0" w:line="480" w:lineRule="auto"/>
        <w:ind w:left="0" w:leftChars="0" w:right="0" w:firstLine="0" w:firstLineChars="0"/>
        <w:jc w:val="center"/>
        <w:textAlignment w:val="auto"/>
        <w:outlineLvl w:val="9"/>
        <w:rPr>
          <w:rFonts w:hint="eastAsia" w:ascii="宋体" w:hAnsi="宋体" w:eastAsia="宋体" w:cs="宋体"/>
          <w:b/>
          <w:sz w:val="44"/>
          <w:szCs w:val="44"/>
        </w:rPr>
      </w:pPr>
    </w:p>
    <w:p>
      <w:pPr>
        <w:widowControl w:val="0"/>
        <w:wordWrap/>
        <w:adjustRightInd/>
        <w:snapToGrid/>
        <w:spacing w:before="0" w:beforeLines="0" w:line="480" w:lineRule="auto"/>
        <w:ind w:left="0" w:leftChars="0" w:right="0" w:firstLine="0" w:firstLineChars="0"/>
        <w:jc w:val="center"/>
        <w:textAlignment w:val="auto"/>
        <w:outlineLvl w:val="9"/>
        <w:rPr>
          <w:rFonts w:hint="eastAsia" w:ascii="宋体" w:hAnsi="宋体" w:eastAsia="宋体" w:cs="宋体"/>
          <w:b/>
          <w:sz w:val="44"/>
          <w:szCs w:val="44"/>
        </w:rPr>
      </w:pPr>
      <w:r>
        <w:rPr>
          <w:rFonts w:hint="eastAsia" w:ascii="宋体" w:hAnsi="宋体" w:eastAsia="宋体" w:cs="宋体"/>
          <w:b/>
          <w:sz w:val="44"/>
          <w:szCs w:val="44"/>
        </w:rPr>
        <w:t>情暖少数民族女孩项目：</w:t>
      </w:r>
    </w:p>
    <w:p>
      <w:pPr>
        <w:widowControl w:val="0"/>
        <w:wordWrap/>
        <w:adjustRightInd/>
        <w:snapToGrid/>
        <w:spacing w:before="0" w:beforeLines="0" w:line="480" w:lineRule="auto"/>
        <w:ind w:left="0" w:leftChars="0" w:right="0" w:firstLine="0" w:firstLineChars="0"/>
        <w:jc w:val="center"/>
        <w:textAlignment w:val="auto"/>
        <w:outlineLvl w:val="9"/>
        <w:rPr>
          <w:rFonts w:hint="eastAsia" w:ascii="宋体" w:hAnsi="宋体" w:eastAsia="宋体" w:cs="宋体"/>
          <w:b/>
          <w:sz w:val="44"/>
          <w:szCs w:val="44"/>
        </w:rPr>
      </w:pPr>
      <w:r>
        <w:rPr>
          <w:rFonts w:hint="eastAsia" w:ascii="宋体" w:hAnsi="宋体" w:eastAsia="宋体" w:cs="宋体"/>
          <w:b/>
          <w:sz w:val="44"/>
          <w:szCs w:val="44"/>
        </w:rPr>
        <w:t>助力边疆少数民族地区脱贫攻坚</w:t>
      </w:r>
    </w:p>
    <w:p>
      <w:pPr>
        <w:widowControl w:val="0"/>
        <w:wordWrap/>
        <w:adjustRightInd/>
        <w:snapToGrid/>
        <w:spacing w:before="0" w:beforeLines="0" w:after="156" w:afterLines="50" w:line="480" w:lineRule="auto"/>
        <w:ind w:left="0" w:leftChars="0" w:right="0" w:firstLine="0" w:firstLineChars="0"/>
        <w:jc w:val="center"/>
        <w:textAlignment w:val="auto"/>
        <w:outlineLvl w:val="9"/>
        <w:rPr>
          <w:rFonts w:hint="eastAsia" w:ascii="仿宋" w:hAnsi="仿宋" w:eastAsia="仿宋"/>
          <w:sz w:val="32"/>
          <w:szCs w:val="32"/>
        </w:rPr>
      </w:pPr>
      <w:r>
        <w:rPr>
          <w:rFonts w:hint="eastAsia" w:ascii="仿宋" w:hAnsi="仿宋" w:eastAsia="仿宋"/>
          <w:sz w:val="32"/>
          <w:szCs w:val="32"/>
        </w:rPr>
        <w:t>——</w:t>
      </w:r>
      <w:bookmarkStart w:id="0" w:name="_GoBack"/>
      <w:r>
        <w:rPr>
          <w:rFonts w:hint="eastAsia" w:ascii="仿宋" w:hAnsi="仿宋" w:eastAsia="仿宋"/>
          <w:sz w:val="32"/>
          <w:szCs w:val="32"/>
        </w:rPr>
        <w:t>海南成美慈善基金会民族团结进步创建经验材料</w:t>
      </w:r>
      <w:bookmarkEnd w:id="0"/>
    </w:p>
    <w:p>
      <w:pPr>
        <w:widowControl w:val="0"/>
        <w:wordWrap/>
        <w:adjustRightInd/>
        <w:snapToGrid/>
        <w:spacing w:before="0" w:beforeLines="0" w:line="480" w:lineRule="auto"/>
        <w:ind w:left="0" w:leftChars="0" w:right="0" w:firstLine="0" w:firstLineChars="0"/>
        <w:textAlignment w:val="auto"/>
        <w:outlineLvl w:val="9"/>
        <w:rPr>
          <w:rFonts w:hint="eastAsia" w:ascii="黑体" w:hAnsi="黑体" w:eastAsia="黑体" w:cs="黑体"/>
          <w:b/>
          <w:bCs/>
          <w:sz w:val="32"/>
          <w:szCs w:val="32"/>
          <w:lang w:val="en-US" w:eastAsia="zh-CN"/>
        </w:rPr>
      </w:pPr>
    </w:p>
    <w:p>
      <w:pPr>
        <w:spacing w:line="360" w:lineRule="auto"/>
        <w:rPr>
          <w:rFonts w:hint="eastAsia" w:ascii="仿宋" w:hAnsi="仿宋" w:eastAsia="仿宋" w:cs="仿宋"/>
          <w:b/>
          <w:bCs/>
          <w:sz w:val="32"/>
          <w:szCs w:val="32"/>
        </w:rPr>
      </w:pPr>
      <w:r>
        <w:rPr>
          <w:rFonts w:hint="eastAsia" w:ascii="黑体" w:hAnsi="黑体" w:eastAsia="黑体" w:cs="黑体"/>
          <w:b/>
          <w:bCs/>
          <w:sz w:val="32"/>
          <w:szCs w:val="32"/>
          <w:lang w:val="en-US" w:eastAsia="zh-CN"/>
        </w:rPr>
        <w:t xml:space="preserve">  </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一、项目背景</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在我国少数民族贫困地区，60%的家长不愿意在女儿初中毕业后继续送她们上学。这些女孩大多面临着两种选择：打工或者结婚生子。即使国家承担贫困学生在校三年的学费，仍有很多的贫困家庭承担不了孩子在校期间的生活费而导致孩子失学。很多女孩无奈辍学或流入社会，失去人生大好成长时机，给家庭和社会带来不和谐因素。</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在委托第三方机构开展的《西部七省少数民族大龄女童受教育状况调研报告》中，对于“辍学少数民族大龄女童受教育状况”显示：尽管许多受访谈对象没有明确表示自己在生活中受到了歧视，但大部分受访者均认为自己过早的离开学校，学历层次低，是造成找不到好工作的主要原因。从调研数据看出，影响到女童今后工作或生活的负面因素中，学历或能力因素占到了80%以上。</w:t>
      </w:r>
    </w:p>
    <w:p>
      <w:pPr>
        <w:spacing w:line="360" w:lineRule="auto"/>
        <w:ind w:firstLine="640" w:firstLineChars="200"/>
        <w:rPr>
          <w:rFonts w:hint="eastAsia" w:ascii="仿宋" w:hAnsi="仿宋" w:eastAsia="仿宋" w:cs="仿宋"/>
          <w:sz w:val="32"/>
          <w:szCs w:val="32"/>
        </w:rPr>
      </w:pPr>
    </w:p>
    <w:p>
      <w:pPr>
        <w:spacing w:line="360" w:lineRule="auto"/>
        <w:ind w:firstLine="640" w:firstLineChars="200"/>
        <w:rPr>
          <w:rFonts w:hint="eastAsia" w:ascii="仿宋" w:hAnsi="仿宋" w:eastAsia="仿宋" w:cs="仿宋"/>
          <w:sz w:val="32"/>
          <w:szCs w:val="32"/>
        </w:rPr>
      </w:pPr>
    </w:p>
    <w:p>
      <w:pPr>
        <w:spacing w:line="360" w:lineRule="auto"/>
        <w:ind w:firstLine="640" w:firstLineChars="200"/>
        <w:rPr>
          <w:rFonts w:hint="eastAsia" w:ascii="仿宋" w:hAnsi="仿宋" w:eastAsia="仿宋" w:cs="仿宋"/>
          <w:sz w:val="32"/>
          <w:szCs w:val="32"/>
        </w:rPr>
      </w:pPr>
    </w:p>
    <w:p>
      <w:pPr>
        <w:spacing w:line="360" w:lineRule="auto"/>
        <w:jc w:val="center"/>
        <w:rPr>
          <w:rFonts w:ascii="仿宋" w:hAnsi="仿宋" w:eastAsia="仿宋"/>
          <w:sz w:val="30"/>
          <w:szCs w:val="30"/>
        </w:rPr>
      </w:pPr>
      <w:r>
        <w:rPr>
          <w:rFonts w:ascii="仿宋" w:hAnsi="仿宋" w:eastAsia="仿宋" w:cs="Times New Roman"/>
          <w:kern w:val="2"/>
          <w:sz w:val="30"/>
          <w:szCs w:val="30"/>
          <w:lang w:val="en-US" w:eastAsia="zh-CN" w:bidi="ar-SA"/>
        </w:rPr>
        <w:drawing>
          <wp:inline distT="0" distB="0" distL="114300" distR="114300">
            <wp:extent cx="4457700" cy="2724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457700" cy="2724150"/>
                    </a:xfrm>
                    <a:prstGeom prst="rect">
                      <a:avLst/>
                    </a:prstGeom>
                    <a:noFill/>
                    <a:ln>
                      <a:noFill/>
                    </a:ln>
                  </pic:spPr>
                </pic:pic>
              </a:graphicData>
            </a:graphic>
          </wp:inline>
        </w:drawing>
      </w:r>
    </w:p>
    <w:p>
      <w:pPr>
        <w:spacing w:line="360" w:lineRule="auto"/>
        <w:ind w:firstLine="640" w:firstLineChars="200"/>
        <w:rPr>
          <w:rFonts w:hint="eastAsia" w:ascii="仿宋" w:hAnsi="仿宋" w:eastAsia="仿宋" w:cs="仿宋"/>
          <w:sz w:val="32"/>
          <w:szCs w:val="32"/>
        </w:rPr>
      </w:pP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即使生于平凡，也想活得灿烂。成美慈善基金会自2011年起发起“情暖少数民族女孩”项目，长期资助少数民族地区贫困女孩在校生活费、奖学金，并支持公益活动的开展，开展社会融入教育、职业教育及社团实践课程。</w:t>
      </w:r>
    </w:p>
    <w:p>
      <w:pPr>
        <w:tabs>
          <w:tab w:val="left" w:pos="2670"/>
        </w:tabs>
        <w:spacing w:line="360" w:lineRule="auto"/>
        <w:rPr>
          <w:rFonts w:ascii="仿宋" w:hAnsi="仿宋" w:eastAsia="仿宋"/>
          <w:sz w:val="30"/>
          <w:szCs w:val="30"/>
        </w:rPr>
      </w:pPr>
      <w:r>
        <w:rPr>
          <w:rFonts w:ascii="仿宋" w:hAnsi="仿宋" w:eastAsia="仿宋" w:cs="Times New Roman"/>
          <w:kern w:val="2"/>
          <w:sz w:val="30"/>
          <w:szCs w:val="30"/>
          <w:lang w:val="en-US" w:eastAsia="zh-CN" w:bidi="ar-SA"/>
        </w:rPr>
        <w:drawing>
          <wp:inline distT="0" distB="0" distL="114300" distR="114300">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3515995"/>
                    </a:xfrm>
                    <a:prstGeom prst="rect">
                      <a:avLst/>
                    </a:prstGeom>
                    <a:noFill/>
                    <a:ln>
                      <a:noFill/>
                    </a:ln>
                  </pic:spPr>
                </pic:pic>
              </a:graphicData>
            </a:graphic>
          </wp:inline>
        </w:drawing>
      </w:r>
    </w:p>
    <w:p>
      <w:pPr>
        <w:tabs>
          <w:tab w:val="left" w:pos="2670"/>
        </w:tabs>
        <w:spacing w:line="360" w:lineRule="auto"/>
        <w:rPr>
          <w:rFonts w:hint="eastAsia" w:ascii="仿宋" w:hAnsi="仿宋" w:eastAsia="仿宋" w:cs="仿宋"/>
          <w:b/>
          <w:bCs/>
          <w:sz w:val="32"/>
          <w:szCs w:val="32"/>
        </w:rPr>
      </w:pPr>
      <w:r>
        <w:rPr>
          <w:rFonts w:hint="eastAsia" w:ascii="黑体" w:hAnsi="黑体" w:eastAsia="黑体" w:cs="黑体"/>
          <w:b/>
          <w:bCs/>
          <w:sz w:val="32"/>
          <w:szCs w:val="32"/>
          <w:lang w:val="en-US" w:eastAsia="zh-CN"/>
        </w:rPr>
        <w:t xml:space="preserve">   </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二、主要举措</w:t>
      </w:r>
    </w:p>
    <w:p>
      <w:pPr>
        <w:pStyle w:val="2"/>
        <w:shd w:val="clear" w:color="auto" w:fill="FFFFFF"/>
        <w:spacing w:before="0" w:beforeLines="0" w:beforeAutospacing="0" w:after="0" w:afterLines="0" w:afterAutospacing="0"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lang w:eastAsia="zh-CN"/>
        </w:rPr>
        <w:t>（</w:t>
      </w:r>
      <w:r>
        <w:rPr>
          <w:rFonts w:hint="eastAsia" w:ascii="仿宋" w:hAnsi="仿宋" w:eastAsia="仿宋" w:cs="仿宋"/>
          <w:b/>
          <w:sz w:val="32"/>
          <w:szCs w:val="32"/>
        </w:rPr>
        <w:t>一）项目目标：</w:t>
      </w:r>
      <w:r>
        <w:rPr>
          <w:rFonts w:hint="eastAsia" w:ascii="仿宋" w:hAnsi="仿宋" w:eastAsia="仿宋" w:cs="仿宋"/>
          <w:sz w:val="32"/>
          <w:szCs w:val="32"/>
        </w:rPr>
        <w:t>为少数民族地区贫困家庭女孩提供中等职业教育期间的助奖学金，通过研发大龄女童课程培养体系，开展社会融入教育和职业发展教育等软技能教育，支持女童参与社会实践，促进其稳定就业。</w:t>
      </w:r>
    </w:p>
    <w:p>
      <w:pPr>
        <w:pStyle w:val="2"/>
        <w:shd w:val="clear" w:color="auto" w:fill="FFFFFF"/>
        <w:spacing w:before="0" w:beforeLines="0" w:beforeAutospacing="0" w:after="0" w:afterLines="0" w:afterAutospacing="0"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lang w:eastAsia="zh-CN"/>
        </w:rPr>
        <w:t>（</w:t>
      </w:r>
      <w:r>
        <w:rPr>
          <w:rFonts w:hint="eastAsia" w:ascii="仿宋" w:hAnsi="仿宋" w:eastAsia="仿宋" w:cs="仿宋"/>
          <w:b/>
          <w:sz w:val="32"/>
          <w:szCs w:val="32"/>
        </w:rPr>
        <w:t>二）项目理念：</w:t>
      </w:r>
      <w:r>
        <w:rPr>
          <w:rFonts w:hint="eastAsia" w:ascii="仿宋" w:hAnsi="仿宋" w:eastAsia="仿宋" w:cs="仿宋"/>
          <w:sz w:val="32"/>
          <w:szCs w:val="32"/>
        </w:rPr>
        <w:t>项目以少数民族地区大龄女童（14-18岁左右适龄女童）为对象，坚持以“培养一名好女孩”为出发点和具体目标。</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lang w:eastAsia="zh-CN"/>
        </w:rPr>
        <w:t>（</w:t>
      </w:r>
      <w:r>
        <w:rPr>
          <w:rFonts w:hint="eastAsia" w:ascii="仿宋" w:hAnsi="仿宋" w:eastAsia="仿宋" w:cs="仿宋"/>
          <w:b/>
          <w:sz w:val="32"/>
          <w:szCs w:val="32"/>
        </w:rPr>
        <w:t>三）项目地点</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项目覆盖海南、西藏、贵州、内蒙、新疆、广西、宁夏、云南、甘肃、四川、青海、重庆等中国西部少数民族聚居地区；近两年同步重点覆盖三区三州深度贫困地区。</w:t>
      </w:r>
    </w:p>
    <w:p>
      <w:pPr>
        <w:spacing w:line="360" w:lineRule="auto"/>
        <w:rPr>
          <w:rFonts w:ascii="仿宋" w:hAnsi="仿宋" w:eastAsia="仿宋"/>
          <w:sz w:val="30"/>
          <w:szCs w:val="30"/>
        </w:rPr>
      </w:pPr>
    </w:p>
    <w:p>
      <w:pPr>
        <w:spacing w:line="360" w:lineRule="auto"/>
        <w:rPr>
          <w:rFonts w:ascii="仿宋" w:hAnsi="仿宋" w:eastAsia="仿宋"/>
          <w:sz w:val="30"/>
          <w:szCs w:val="30"/>
        </w:rPr>
      </w:pPr>
      <w:r>
        <w:rPr>
          <w:rFonts w:ascii="仿宋" w:hAnsi="仿宋" w:eastAsia="仿宋" w:cs="Times New Roman"/>
          <w:kern w:val="2"/>
          <w:sz w:val="30"/>
          <w:szCs w:val="30"/>
          <w:lang w:val="en-US" w:eastAsia="zh-CN" w:bidi="ar-SA"/>
        </w:rPr>
        <w:drawing>
          <wp:inline distT="0" distB="0" distL="114300" distR="114300">
            <wp:extent cx="5274310" cy="3515995"/>
            <wp:effectExtent l="0" t="0" r="254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74310" cy="3515995"/>
                    </a:xfrm>
                    <a:prstGeom prst="rect">
                      <a:avLst/>
                    </a:prstGeom>
                    <a:noFill/>
                    <a:ln>
                      <a:noFill/>
                    </a:ln>
                  </pic:spPr>
                </pic:pic>
              </a:graphicData>
            </a:graphic>
          </wp:inline>
        </w:drawing>
      </w:r>
    </w:p>
    <w:p>
      <w:pPr>
        <w:spacing w:line="360" w:lineRule="auto"/>
        <w:ind w:firstLine="602" w:firstLineChars="200"/>
        <w:rPr>
          <w:rFonts w:ascii="仿宋" w:hAnsi="仿宋" w:eastAsia="仿宋"/>
          <w:b/>
          <w:sz w:val="30"/>
          <w:szCs w:val="30"/>
        </w:rPr>
      </w:pPr>
      <w:r>
        <w:rPr>
          <w:rFonts w:hint="eastAsia" w:ascii="仿宋" w:hAnsi="仿宋" w:eastAsia="仿宋"/>
          <w:b/>
          <w:sz w:val="30"/>
          <w:szCs w:val="30"/>
          <w:lang w:eastAsia="zh-CN"/>
        </w:rPr>
        <w:t>（</w:t>
      </w:r>
      <w:r>
        <w:rPr>
          <w:rFonts w:hint="eastAsia" w:ascii="仿宋" w:hAnsi="仿宋" w:eastAsia="仿宋"/>
          <w:b/>
          <w:sz w:val="30"/>
          <w:szCs w:val="30"/>
        </w:rPr>
        <w:t>四）项目资助内容</w:t>
      </w:r>
    </w:p>
    <w:p>
      <w:pPr>
        <w:spacing w:line="360" w:lineRule="auto"/>
        <w:ind w:firstLine="602" w:firstLineChars="200"/>
        <w:rPr>
          <w:rFonts w:ascii="仿宋" w:hAnsi="仿宋" w:eastAsia="仿宋"/>
          <w:b/>
          <w:sz w:val="30"/>
          <w:szCs w:val="30"/>
        </w:rPr>
      </w:pPr>
      <w:r>
        <w:rPr>
          <w:rFonts w:hint="eastAsia" w:ascii="仿宋" w:hAnsi="仿宋" w:eastAsia="仿宋"/>
          <w:b/>
          <w:sz w:val="30"/>
          <w:szCs w:val="30"/>
        </w:rPr>
        <w:t>1、助学金</w:t>
      </w:r>
    </w:p>
    <w:p>
      <w:pPr>
        <w:spacing w:line="360" w:lineRule="auto"/>
        <w:ind w:firstLine="600" w:firstLineChars="200"/>
        <w:rPr>
          <w:rFonts w:ascii="仿宋" w:hAnsi="仿宋" w:eastAsia="仿宋"/>
          <w:sz w:val="30"/>
          <w:szCs w:val="30"/>
        </w:rPr>
      </w:pPr>
      <w:r>
        <w:rPr>
          <w:rFonts w:hint="eastAsia" w:ascii="仿宋" w:hAnsi="仿宋" w:eastAsia="仿宋"/>
          <w:sz w:val="30"/>
          <w:szCs w:val="30"/>
        </w:rPr>
        <w:t>为符合资助条件的大龄女童提供职业教育期间基本生活费用，确保她们顺利完成学业并就业</w:t>
      </w:r>
    </w:p>
    <w:p>
      <w:pPr>
        <w:spacing w:line="360" w:lineRule="auto"/>
        <w:ind w:firstLine="600" w:firstLineChars="200"/>
        <w:rPr>
          <w:rFonts w:ascii="仿宋" w:hAnsi="仿宋" w:eastAsia="仿宋"/>
          <w:sz w:val="30"/>
          <w:szCs w:val="30"/>
        </w:rPr>
      </w:pPr>
      <w:r>
        <w:rPr>
          <w:rFonts w:hint="eastAsia" w:ascii="仿宋" w:hAnsi="仿宋" w:eastAsia="仿宋" w:cs="Times New Roman"/>
          <w:kern w:val="2"/>
          <w:sz w:val="30"/>
          <w:szCs w:val="30"/>
          <w:lang w:val="en-US" w:eastAsia="zh-CN" w:bidi="ar-SA"/>
        </w:rPr>
        <w:drawing>
          <wp:inline distT="0" distB="0" distL="114300" distR="114300">
            <wp:extent cx="5376545" cy="1783080"/>
            <wp:effectExtent l="0" t="0" r="14605" b="762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5376545" cy="1783080"/>
                    </a:xfrm>
                    <a:prstGeom prst="rect">
                      <a:avLst/>
                    </a:prstGeom>
                    <a:noFill/>
                    <a:ln>
                      <a:noFill/>
                    </a:ln>
                  </pic:spPr>
                </pic:pic>
              </a:graphicData>
            </a:graphic>
          </wp:inline>
        </w:drawing>
      </w:r>
    </w:p>
    <w:p>
      <w:pPr>
        <w:spacing w:line="360" w:lineRule="auto"/>
        <w:rPr>
          <w:rFonts w:ascii="仿宋" w:hAnsi="仿宋" w:eastAsia="仿宋"/>
          <w:sz w:val="32"/>
          <w:szCs w:val="32"/>
        </w:rPr>
      </w:pPr>
    </w:p>
    <w:p>
      <w:pPr>
        <w:spacing w:line="360" w:lineRule="auto"/>
        <w:ind w:firstLine="643" w:firstLineChars="200"/>
        <w:rPr>
          <w:rFonts w:ascii="仿宋" w:hAnsi="仿宋" w:eastAsia="仿宋"/>
          <w:b/>
          <w:sz w:val="32"/>
          <w:szCs w:val="32"/>
        </w:rPr>
      </w:pPr>
      <w:r>
        <w:rPr>
          <w:rFonts w:hint="eastAsia" w:ascii="仿宋" w:hAnsi="仿宋" w:eastAsia="仿宋"/>
          <w:b/>
          <w:sz w:val="32"/>
          <w:szCs w:val="32"/>
        </w:rPr>
        <w:t>2、靓志奖学金</w:t>
      </w:r>
    </w:p>
    <w:p>
      <w:pPr>
        <w:spacing w:line="360" w:lineRule="auto"/>
        <w:ind w:firstLine="640" w:firstLineChars="200"/>
        <w:rPr>
          <w:rFonts w:ascii="仿宋" w:hAnsi="仿宋" w:eastAsia="仿宋"/>
          <w:sz w:val="32"/>
          <w:szCs w:val="32"/>
        </w:rPr>
      </w:pPr>
      <w:r>
        <w:rPr>
          <w:rFonts w:hint="eastAsia" w:ascii="仿宋" w:hAnsi="仿宋" w:eastAsia="仿宋"/>
          <w:sz w:val="32"/>
          <w:szCs w:val="32"/>
        </w:rPr>
        <w:t>为激励大龄女童积极参与靓志课程，鼓励其参与社会实践活动，项目对资助学生中表现优异的大龄女童给予靓志资金奖励。</w:t>
      </w:r>
    </w:p>
    <w:p>
      <w:pPr>
        <w:spacing w:line="360" w:lineRule="auto"/>
        <w:ind w:firstLine="643" w:firstLineChars="200"/>
        <w:rPr>
          <w:rFonts w:ascii="仿宋" w:hAnsi="仿宋" w:eastAsia="仿宋"/>
          <w:b/>
          <w:sz w:val="32"/>
          <w:szCs w:val="32"/>
        </w:rPr>
      </w:pPr>
      <w:r>
        <w:rPr>
          <w:rFonts w:hint="eastAsia" w:ascii="仿宋" w:hAnsi="仿宋" w:eastAsia="仿宋"/>
          <w:b/>
          <w:sz w:val="32"/>
          <w:szCs w:val="32"/>
        </w:rPr>
        <w:t>3、靓志课程</w:t>
      </w:r>
    </w:p>
    <w:p>
      <w:pPr>
        <w:spacing w:line="360" w:lineRule="auto"/>
        <w:ind w:firstLine="640" w:firstLineChars="200"/>
        <w:rPr>
          <w:rFonts w:ascii="仿宋" w:hAnsi="仿宋" w:eastAsia="仿宋"/>
          <w:sz w:val="32"/>
          <w:szCs w:val="32"/>
        </w:rPr>
      </w:pPr>
      <w:r>
        <w:rPr>
          <w:rFonts w:hint="eastAsia" w:ascii="仿宋" w:hAnsi="仿宋" w:eastAsia="仿宋"/>
          <w:sz w:val="32"/>
          <w:szCs w:val="32"/>
        </w:rPr>
        <w:t>通过与专业教育机构合作，为学校提供靓志课程，开展社会融入教育，包括生活教育、理财教育、励志教育、感恩教育；以及开展职业发展教育。课程采用参与式、互动式、体验式的教学方法，培养少数民族地区大龄女童的自信、感恩、独立及社会责任感，提升她们的个人品质和职业素养。</w:t>
      </w:r>
    </w:p>
    <w:p>
      <w:pPr>
        <w:spacing w:line="360" w:lineRule="auto"/>
        <w:ind w:firstLine="643" w:firstLineChars="200"/>
        <w:rPr>
          <w:rFonts w:ascii="仿宋" w:hAnsi="仿宋" w:eastAsia="仿宋"/>
          <w:b/>
          <w:sz w:val="32"/>
          <w:szCs w:val="32"/>
        </w:rPr>
      </w:pPr>
      <w:r>
        <w:rPr>
          <w:rFonts w:hint="eastAsia" w:ascii="仿宋" w:hAnsi="仿宋" w:eastAsia="仿宋"/>
          <w:b/>
          <w:sz w:val="32"/>
          <w:szCs w:val="32"/>
        </w:rPr>
        <w:t>4、靓志社团</w:t>
      </w:r>
    </w:p>
    <w:p>
      <w:pPr>
        <w:spacing w:line="360" w:lineRule="auto"/>
        <w:ind w:firstLine="640" w:firstLineChars="200"/>
        <w:rPr>
          <w:rFonts w:ascii="仿宋" w:hAnsi="仿宋" w:eastAsia="仿宋"/>
          <w:sz w:val="32"/>
          <w:szCs w:val="32"/>
        </w:rPr>
      </w:pPr>
      <w:r>
        <w:rPr>
          <w:rFonts w:hint="eastAsia" w:ascii="仿宋" w:hAnsi="仿宋" w:eastAsia="仿宋"/>
          <w:sz w:val="32"/>
          <w:szCs w:val="32"/>
        </w:rPr>
        <w:t>通过靓志社团模式的探索与深耕，搭建适合职校女童参与的实践平台，激发职校女童参与社团实践的活力和积极性。靓志社团以职业教育实践或民族文化传承与发扬进行定向发展，开展便于职校与社会衔接的职业实践活动。</w:t>
      </w:r>
    </w:p>
    <w:p>
      <w:pPr>
        <w:spacing w:line="360" w:lineRule="auto"/>
        <w:ind w:firstLine="643" w:firstLineChars="200"/>
        <w:rPr>
          <w:rFonts w:ascii="仿宋" w:hAnsi="仿宋" w:eastAsia="仿宋"/>
          <w:b/>
          <w:sz w:val="32"/>
          <w:szCs w:val="32"/>
        </w:rPr>
      </w:pPr>
      <w:r>
        <w:rPr>
          <w:rFonts w:hint="eastAsia" w:ascii="仿宋" w:hAnsi="仿宋" w:eastAsia="仿宋"/>
          <w:b/>
          <w:sz w:val="32"/>
          <w:szCs w:val="32"/>
        </w:rPr>
        <w:t>5、研讨会（或年会）</w:t>
      </w:r>
    </w:p>
    <w:p>
      <w:pPr>
        <w:spacing w:line="360" w:lineRule="auto"/>
        <w:ind w:firstLine="640" w:firstLineChars="200"/>
        <w:rPr>
          <w:rFonts w:ascii="仿宋" w:hAnsi="仿宋" w:eastAsia="仿宋"/>
          <w:sz w:val="32"/>
          <w:szCs w:val="32"/>
        </w:rPr>
      </w:pPr>
      <w:r>
        <w:rPr>
          <w:rFonts w:hint="eastAsia" w:ascii="仿宋" w:hAnsi="仿宋" w:eastAsia="仿宋"/>
          <w:sz w:val="32"/>
          <w:szCs w:val="32"/>
        </w:rPr>
        <w:t>通过定期举办研讨会（或年会），发布有关少数民族地区女童群体及其职业发展的调查研究，对重点议题进行讨论交流，促使项目不断完善升级。</w:t>
      </w:r>
    </w:p>
    <w:p>
      <w:pPr>
        <w:spacing w:line="360" w:lineRule="auto"/>
        <w:ind w:firstLine="643" w:firstLineChars="200"/>
        <w:rPr>
          <w:rFonts w:ascii="仿宋" w:hAnsi="仿宋" w:eastAsia="仿宋"/>
          <w:b/>
          <w:sz w:val="32"/>
          <w:szCs w:val="32"/>
        </w:rPr>
      </w:pPr>
      <w:r>
        <w:rPr>
          <w:rFonts w:hint="eastAsia" w:ascii="仿宋" w:hAnsi="仿宋" w:eastAsia="仿宋"/>
          <w:b/>
          <w:sz w:val="32"/>
          <w:szCs w:val="32"/>
        </w:rPr>
        <w:t>6、深造及继续深造基金</w:t>
      </w:r>
    </w:p>
    <w:p>
      <w:pPr>
        <w:spacing w:line="360" w:lineRule="auto"/>
        <w:ind w:firstLine="640" w:firstLineChars="200"/>
        <w:rPr>
          <w:rFonts w:ascii="仿宋" w:hAnsi="仿宋" w:eastAsia="仿宋"/>
          <w:sz w:val="32"/>
          <w:szCs w:val="32"/>
        </w:rPr>
      </w:pPr>
      <w:r>
        <w:rPr>
          <w:rFonts w:hint="eastAsia" w:ascii="仿宋" w:hAnsi="仿宋" w:eastAsia="仿宋"/>
          <w:sz w:val="32"/>
          <w:szCs w:val="32"/>
        </w:rPr>
        <w:t>深造及继续深造资金的设立，为考取专科类（含大专）以上院校的优秀学生提供升学资金支持，解决她们的学费和生活费问题，支持她们成为高素质和高水平技能人才。</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被专科类（含大专）以上院校录取的学生，可享受3</w:t>
      </w:r>
      <w:r>
        <w:rPr>
          <w:rFonts w:ascii="仿宋" w:hAnsi="仿宋" w:eastAsia="仿宋"/>
          <w:sz w:val="32"/>
          <w:szCs w:val="32"/>
        </w:rPr>
        <w:t>000</w:t>
      </w:r>
      <w:r>
        <w:rPr>
          <w:rFonts w:hint="eastAsia" w:ascii="仿宋" w:hAnsi="仿宋" w:eastAsia="仿宋"/>
          <w:sz w:val="32"/>
          <w:szCs w:val="32"/>
        </w:rPr>
        <w:t>元至6</w:t>
      </w:r>
      <w:r>
        <w:rPr>
          <w:rFonts w:ascii="仿宋" w:hAnsi="仿宋" w:eastAsia="仿宋"/>
          <w:sz w:val="32"/>
          <w:szCs w:val="32"/>
        </w:rPr>
        <w:t>000</w:t>
      </w:r>
      <w:r>
        <w:rPr>
          <w:rFonts w:hint="eastAsia" w:ascii="仿宋" w:hAnsi="仿宋" w:eastAsia="仿宋"/>
          <w:sz w:val="32"/>
          <w:szCs w:val="32"/>
        </w:rPr>
        <w:t>元不等的一次性资助金。</w:t>
      </w:r>
    </w:p>
    <w:p>
      <w:pPr>
        <w:spacing w:line="360" w:lineRule="auto"/>
        <w:jc w:val="center"/>
        <w:rPr>
          <w:rFonts w:ascii="仿宋" w:hAnsi="仿宋" w:eastAsia="仿宋"/>
          <w:sz w:val="30"/>
          <w:szCs w:val="30"/>
        </w:rPr>
      </w:pPr>
      <w:r>
        <w:rPr>
          <w:rFonts w:ascii="仿宋" w:hAnsi="仿宋" w:eastAsia="仿宋" w:cs="Times New Roman"/>
          <w:kern w:val="2"/>
          <w:sz w:val="30"/>
          <w:szCs w:val="30"/>
          <w:lang w:val="en-US" w:eastAsia="zh-CN" w:bidi="ar-SA"/>
        </w:rPr>
        <w:drawing>
          <wp:inline distT="0" distB="0" distL="114300" distR="114300">
            <wp:extent cx="4791075" cy="3178810"/>
            <wp:effectExtent l="0" t="0" r="952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791075" cy="3178810"/>
                    </a:xfrm>
                    <a:prstGeom prst="rect">
                      <a:avLst/>
                    </a:prstGeom>
                    <a:noFill/>
                    <a:ln>
                      <a:noFill/>
                    </a:ln>
                  </pic:spPr>
                </pic:pic>
              </a:graphicData>
            </a:graphic>
          </wp:inline>
        </w:drawing>
      </w:r>
    </w:p>
    <w:p>
      <w:pPr>
        <w:spacing w:line="360" w:lineRule="auto"/>
        <w:ind w:firstLine="600" w:firstLineChars="200"/>
        <w:rPr>
          <w:rFonts w:ascii="仿宋" w:hAnsi="仿宋" w:eastAsia="仿宋"/>
          <w:sz w:val="30"/>
          <w:szCs w:val="30"/>
        </w:rPr>
      </w:pPr>
    </w:p>
    <w:p>
      <w:pPr>
        <w:spacing w:line="360" w:lineRule="auto"/>
        <w:rPr>
          <w:rFonts w:hint="eastAsia" w:ascii="仿宋" w:hAnsi="仿宋" w:eastAsia="仿宋" w:cs="仿宋"/>
          <w:b/>
          <w:sz w:val="32"/>
          <w:szCs w:val="32"/>
        </w:rPr>
      </w:pPr>
      <w:r>
        <w:rPr>
          <w:rFonts w:hint="eastAsia" w:ascii="黑体" w:hAnsi="黑体" w:eastAsia="黑体" w:cs="黑体"/>
          <w:b/>
          <w:sz w:val="32"/>
          <w:szCs w:val="32"/>
          <w:lang w:val="en-US" w:eastAsia="zh-CN"/>
        </w:rPr>
        <w:t xml:space="preserve">    </w:t>
      </w:r>
      <w:r>
        <w:rPr>
          <w:rFonts w:hint="eastAsia" w:ascii="仿宋" w:hAnsi="仿宋" w:eastAsia="仿宋" w:cs="仿宋"/>
          <w:b/>
          <w:sz w:val="32"/>
          <w:szCs w:val="32"/>
        </w:rPr>
        <w:t>三、亮点工作</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项目实行各地监管方，职业学校与成美基金会三方合作模式：学校作为执行方，公益组织等作为监管方，成美作为项目发起方与评估方。项目经费采取政府与成美基金会配套合作方式，政府免学费、成美提供助学金，以达到女孩免费接受职业教育的目的。</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2、前期综合调研当地学校的贫困学生费用减免措施，学校根据情况减免受助女孩的课本费等学杂费用。进一步减轻孩子家庭的负担。筛选受益对象时，优先资助建档立卡户及低保户家庭的女童。</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许多女孩过少接触外界，不少女童在小学、初中阶段一直在乡镇或县城读书，读职校是她们第一次上省城或州城。在陌生环境情况下，自卑的她们更多是选择逃避现实，不敢与他人沟通，没有明确的人生目标。针对此类现状，我们通过靓志课程和社团活动，恢复她们的自信心，培养她们的独立自主能力。</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扶贫重在扶志，现有资金规模无法全面覆盖少数民族贫困地区时，我们鼓励学校将靓志课程作为校本课程进行推广，让其他学生也有机会参与到靓志课堂中。老师把课堂还给学生，她们积极完成团队任务、思考解决方案，以讨论解决 “如何防性侵和学会自我保护？”等课堂议题。</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5、以靓志奖学金、深造基金等奖励鼓励受助女孩在校阶段的主动学习与自我成长，鼓励她们变得更自信和独立，增加实践阅历。</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6、项目研讨会（年会）每两年聚集合作伙伴和受助学生，研讨项目执行内容的执行成果、所存在问题，思考项目未来的发展方向。研讨会同步发布项目或受助群体调研报告，以对接受益群体最迫切的资助需求。</w:t>
      </w:r>
    </w:p>
    <w:p>
      <w:pPr>
        <w:spacing w:line="360" w:lineRule="auto"/>
        <w:rPr>
          <w:rFonts w:hint="eastAsia" w:ascii="仿宋" w:hAnsi="仿宋" w:eastAsia="仿宋" w:cs="仿宋"/>
          <w:b/>
          <w:bCs/>
          <w:sz w:val="32"/>
          <w:szCs w:val="32"/>
        </w:rPr>
      </w:pP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四、主要成效</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截止2019年12月，我们在海南、云南、西藏、内蒙、贵州、新疆、甘肃、宁夏、广西、四川、青海、重庆等十二个少数民族地区开展项目活动，累计支出约2383万元，共资助6554名贫困女孩就读护理、药剂、学前教育、酒店管理等专业（其中海南地区资助870名贫困女孩）。共组织学生开展或参与了280场公益活动；靓志课程授课达1800课时，靓志课程直接受益学生达6000人（含非本项目资助学生）；成立3个靓志社团并开展了超过130次社团活动，社会媒体报道103篇。</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项目2015级资助学生毕业就业情况：2015级项目初始资助学生385人。经过三年的学习后，毕业人数342人，毕业率88.83%；直接就业或升学人数322人，就业率94.15%；直接就业学生的平均工资约为2767元；中途退出资助或直接辍学人数共43人，流失率11.17%。（各地区就业学生的工资水平因就业地点的不同而有所差异，如云南15级学生基本都在深圳市各私立幼儿园参加工作，工资水平在五千至六千左右；而广西田东、新疆阿勒泰的受助学生多数选择在当地就业，其工资水平在1500元至2500元左右）</w:t>
      </w:r>
    </w:p>
    <w:p>
      <w:pPr>
        <w:spacing w:line="360" w:lineRule="auto"/>
        <w:rPr>
          <w:rFonts w:hint="eastAsia" w:ascii="仿宋" w:hAnsi="仿宋" w:eastAsia="仿宋" w:cs="仿宋"/>
          <w:sz w:val="32"/>
          <w:szCs w:val="32"/>
        </w:rPr>
      </w:pPr>
      <w:r>
        <w:rPr>
          <w:rFonts w:hint="eastAsia" w:ascii="仿宋" w:hAnsi="仿宋" w:eastAsia="仿宋" w:cs="仿宋"/>
          <w:kern w:val="2"/>
          <w:sz w:val="32"/>
          <w:szCs w:val="32"/>
          <w:lang w:val="en-US" w:eastAsia="zh-CN" w:bidi="ar-SA"/>
        </w:rPr>
        <w:drawing>
          <wp:inline distT="0" distB="0" distL="114300" distR="114300">
            <wp:extent cx="5372735" cy="2299970"/>
            <wp:effectExtent l="0" t="0" r="18415"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372735" cy="2299970"/>
                    </a:xfrm>
                    <a:prstGeom prst="rect">
                      <a:avLst/>
                    </a:prstGeom>
                    <a:noFill/>
                    <a:ln>
                      <a:noFill/>
                    </a:ln>
                  </pic:spPr>
                </pic:pic>
              </a:graphicData>
            </a:graphic>
          </wp:inline>
        </w:drawing>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2018年9月，情暖少数民族女孩项目获得第十届中华慈善奖慈善项目，成为海南地区唯一获此殊荣的公益项目。</w:t>
      </w:r>
    </w:p>
    <w:p>
      <w:pPr>
        <w:spacing w:line="360" w:lineRule="auto"/>
        <w:jc w:val="center"/>
        <w:rPr>
          <w:rFonts w:ascii="仿宋" w:hAnsi="仿宋" w:eastAsia="仿宋"/>
          <w:sz w:val="30"/>
          <w:szCs w:val="30"/>
        </w:rPr>
      </w:pPr>
      <w:r>
        <w:rPr>
          <w:rFonts w:ascii="仿宋" w:hAnsi="仿宋" w:eastAsia="仿宋" w:cs="Times New Roman"/>
          <w:kern w:val="2"/>
          <w:sz w:val="30"/>
          <w:szCs w:val="30"/>
          <w:lang w:val="en-US" w:eastAsia="zh-CN" w:bidi="ar-SA"/>
        </w:rPr>
        <w:drawing>
          <wp:inline distT="0" distB="0" distL="114300" distR="114300">
            <wp:extent cx="3778885" cy="4410075"/>
            <wp:effectExtent l="0" t="0" r="1206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3778885" cy="4410075"/>
                    </a:xfrm>
                    <a:prstGeom prst="rect">
                      <a:avLst/>
                    </a:prstGeom>
                    <a:noFill/>
                    <a:ln>
                      <a:noFill/>
                    </a:ln>
                  </pic:spPr>
                </pic:pic>
              </a:graphicData>
            </a:graphic>
          </wp:inline>
        </w:drawing>
      </w:r>
    </w:p>
    <w:p>
      <w:pPr>
        <w:spacing w:line="360" w:lineRule="auto"/>
        <w:rPr>
          <w:rFonts w:hint="eastAsia" w:ascii="仿宋" w:hAnsi="仿宋" w:eastAsia="仿宋" w:cs="仿宋"/>
          <w:b/>
          <w:bCs/>
          <w:sz w:val="32"/>
          <w:szCs w:val="32"/>
        </w:rPr>
      </w:pPr>
      <w:r>
        <w:rPr>
          <w:rFonts w:hint="eastAsia" w:ascii="黑体" w:hAnsi="黑体" w:eastAsia="黑体" w:cs="黑体"/>
          <w:b/>
          <w:bCs/>
          <w:sz w:val="32"/>
          <w:szCs w:val="32"/>
          <w:lang w:val="en-US" w:eastAsia="zh-CN"/>
        </w:rPr>
        <w:t xml:space="preserve">   </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五、典型经验</w:t>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创新摸索：</w:t>
      </w:r>
      <w:r>
        <w:rPr>
          <w:rFonts w:hint="eastAsia" w:ascii="仿宋" w:hAnsi="仿宋" w:eastAsia="仿宋" w:cs="仿宋"/>
          <w:sz w:val="32"/>
          <w:szCs w:val="32"/>
        </w:rPr>
        <w:t>通过多方跨界的合作机制，综合利用社会资源，降低运作成本，从教育、扶贫、女童发展、妇女发展等多重视角着眼，帮助贫困地区大龄女童获得职业教育机会，改变自身命运，改善家庭生计，促进社会和谐发展。除了基础的助学金资助外，还针对受助群体特性，邀请第三方教育机构研发了互动体验式的“靓志课程”，对学生进行更为全面的综合素质培养，包括学生的自信心、独立自主、社会适应性、职业水平等。另通过引入社工机构、NGO等社会力量对女童社团进行孵化培养，鼓励学生成立或参与社团活动，创造学生参与社会实践的机会。</w:t>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可持续性资助：</w:t>
      </w:r>
      <w:r>
        <w:rPr>
          <w:rFonts w:hint="eastAsia" w:ascii="仿宋" w:hAnsi="仿宋" w:eastAsia="仿宋" w:cs="仿宋"/>
          <w:sz w:val="32"/>
          <w:szCs w:val="32"/>
        </w:rPr>
        <w:t>项目具有性别观和教育观，从性别视角出发为大龄女童服务，通过教育实践手段提升女童的文化知识水平和社会适应能力，有效促进贫困大龄女童自信心培养，提高其就业能力。为保证项目资助的有效性，项目通过定期举办的研讨会，交流研究成果，对重点议题进行讨论，加促项目的完善升级。除了中职阶段资助外，如有受助学生升学大专或本科院校，项目还提供深造基金助圆大学梦。</w:t>
      </w:r>
    </w:p>
    <w:p>
      <w:pPr>
        <w:spacing w:line="360" w:lineRule="auto"/>
        <w:ind w:firstLine="640" w:firstLineChars="200"/>
        <w:rPr>
          <w:rFonts w:hint="eastAsia" w:ascii="仿宋" w:hAnsi="仿宋" w:eastAsia="仿宋" w:cs="仿宋"/>
          <w:b/>
          <w:sz w:val="32"/>
          <w:szCs w:val="32"/>
        </w:rPr>
      </w:pPr>
      <w:r>
        <w:rPr>
          <w:rFonts w:hint="eastAsia" w:ascii="仿宋" w:hAnsi="仿宋" w:eastAsia="仿宋" w:cs="仿宋"/>
          <w:sz w:val="32"/>
          <w:szCs w:val="32"/>
        </w:rPr>
        <w:t>项目引入数据系统开发，项目管理手册及质量指标体系，研发靓志课程、社团手册，开展第三方评估。支持性项目活动的实施，为项目可持续性资助提供了必要保障。</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影响力示范作用：</w:t>
      </w:r>
      <w:r>
        <w:rPr>
          <w:rFonts w:hint="eastAsia" w:ascii="仿宋" w:hAnsi="仿宋" w:eastAsia="仿宋" w:cs="仿宋"/>
          <w:sz w:val="32"/>
          <w:szCs w:val="32"/>
        </w:rPr>
        <w:t>情暖少数民族女孩项目长达8年时间的执行，在少数民族地区起到一定的影响力和示范性作用，甚至个别地区项目在执行两三年后，有父母上门咨询项目资助事宜，从而有更多女孩选择返校上学。项目也在招生过程中，向父母强调女童受教育的基本权利，传达其获得一技之长的重要性，改变父母意识观念，摒弃重男轻女、早婚早育等传统观念，项目成果得到了大众的广泛认可。</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C9546E"/>
    <w:rsid w:val="1AC954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nhideWhenUsed/>
    <w:uiPriority w:val="99"/>
    <w:pPr>
      <w:widowControl/>
      <w:spacing w:before="100" w:beforeLines="0" w:beforeAutospacing="1" w:after="100" w:afterLines="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emf"/><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2020-06-23T07:34:00Z</dcterms:created>
  <dc:creator>luck刘小妞</dc:creator>
  <cp:lastModifiedBy>luck刘小妞</cp:lastModifiedBy>
  <dcterms:modified xsi:type="dcterms:W3CDTF">2020-06-23T07:34:50Z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