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 w:line="600" w:lineRule="exact"/>
        <w:rPr>
          <w:rFonts w:hint="eastAsia" w:ascii="黑体" w:hAnsi="方正仿宋_GBK" w:eastAsia="黑体" w:cs="方正仿宋_GBK"/>
          <w:sz w:val="32"/>
          <w:szCs w:val="32"/>
        </w:rPr>
      </w:pPr>
      <w:r>
        <w:rPr>
          <w:rFonts w:hint="eastAsia" w:ascii="黑体" w:hAnsi="方正仿宋_GBK" w:eastAsia="黑体" w:cs="方正仿宋_GBK"/>
          <w:sz w:val="32"/>
          <w:szCs w:val="32"/>
        </w:rPr>
        <w:t>附1</w:t>
      </w:r>
    </w:p>
    <w:p>
      <w:pPr>
        <w:spacing w:line="680" w:lineRule="exact"/>
        <w:jc w:val="center"/>
        <w:rPr>
          <w:rFonts w:hint="eastAsia" w:ascii="方正小标宋简体" w:hAnsi="方正黑体_GBK" w:eastAsia="方正小标宋简体" w:cs="方正黑体_GBK"/>
          <w:bCs/>
          <w:color w:val="000000"/>
          <w:kern w:val="0"/>
          <w:sz w:val="44"/>
          <w:szCs w:val="36"/>
        </w:rPr>
      </w:pPr>
      <w:bookmarkStart w:id="0" w:name="_GoBack"/>
      <w:r>
        <w:rPr>
          <w:rFonts w:hint="eastAsia" w:ascii="方正小标宋简体" w:hAnsi="方正黑体_GBK" w:eastAsia="方正小标宋简体" w:cs="方正黑体_GBK"/>
          <w:bCs/>
          <w:color w:val="000000"/>
          <w:kern w:val="0"/>
          <w:sz w:val="44"/>
          <w:szCs w:val="36"/>
        </w:rPr>
        <w:t>民政部彩票公益金民政部项目评审</w:t>
      </w:r>
    </w:p>
    <w:p>
      <w:pPr>
        <w:spacing w:line="680" w:lineRule="exact"/>
        <w:jc w:val="center"/>
        <w:rPr>
          <w:rFonts w:hint="eastAsia" w:ascii="方正小标宋_GBK" w:hAnsi="方正黑体_GBK" w:eastAsia="方正小标宋_GBK" w:cs="方正黑体_GBK"/>
          <w:bCs/>
          <w:color w:val="000000"/>
          <w:kern w:val="0"/>
          <w:sz w:val="44"/>
          <w:szCs w:val="36"/>
        </w:rPr>
      </w:pPr>
      <w:r>
        <w:rPr>
          <w:rFonts w:hint="eastAsia" w:ascii="方正小标宋简体" w:hAnsi="方正黑体_GBK" w:eastAsia="方正小标宋简体" w:cs="方正黑体_GBK"/>
          <w:bCs/>
          <w:color w:val="000000"/>
          <w:kern w:val="0"/>
          <w:sz w:val="44"/>
          <w:szCs w:val="36"/>
        </w:rPr>
        <w:t>专家库建设和专家管理办法</w:t>
      </w:r>
    </w:p>
    <w:bookmarkEnd w:id="0"/>
    <w:p>
      <w:pPr>
        <w:spacing w:line="600" w:lineRule="exact"/>
        <w:ind w:firstLine="720"/>
        <w:rPr>
          <w:rFonts w:hint="eastAsia" w:ascii="仿宋_GB2312" w:hAnsi="方正仿宋_GBK" w:eastAsia="仿宋_GB2312" w:cs="方正仿宋_GBK"/>
          <w:b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color w:val="000000"/>
          <w:kern w:val="0"/>
          <w:sz w:val="32"/>
          <w:szCs w:val="32"/>
        </w:rPr>
        <w:t xml:space="preserve">    </w:t>
      </w:r>
    </w:p>
    <w:p>
      <w:pPr>
        <w:spacing w:line="600" w:lineRule="exact"/>
        <w:ind w:firstLine="643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color w:val="000000"/>
          <w:kern w:val="0"/>
          <w:sz w:val="32"/>
          <w:szCs w:val="32"/>
        </w:rPr>
        <w:t>第一条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 xml:space="preserve">  社会福利和慈善事业促进司（以下简称“福慈司”）负责建立和管理民政部彩票公益金民政部项目评审专家库（以下简称“专家库”）。</w:t>
      </w:r>
    </w:p>
    <w:p>
      <w:pPr>
        <w:spacing w:line="600" w:lineRule="exact"/>
        <w:ind w:firstLine="643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color w:val="000000"/>
          <w:kern w:val="0"/>
          <w:sz w:val="32"/>
          <w:szCs w:val="32"/>
        </w:rPr>
        <w:t xml:space="preserve">第二条 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 xml:space="preserve"> 福慈司通过公开征聘、组织单位推荐、个人自荐等方式产生候选名单，经司长办公会议研究并报部领导审定后，确定专家库人员。评审专家由福慈司颁发聘书，聘期为三年。</w:t>
      </w:r>
    </w:p>
    <w:p>
      <w:pPr>
        <w:spacing w:line="600" w:lineRule="exact"/>
        <w:ind w:firstLine="643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color w:val="000000"/>
          <w:kern w:val="0"/>
          <w:sz w:val="32"/>
          <w:szCs w:val="32"/>
        </w:rPr>
        <w:t>第三条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 xml:space="preserve">  专家库总人数不少于100人，来源构成和比例为推荐专家:公开征聘专家＝1:1。根据情况逐步增大公开征聘专家数量和比例。</w:t>
      </w:r>
    </w:p>
    <w:p>
      <w:pPr>
        <w:spacing w:line="600" w:lineRule="exact"/>
        <w:ind w:firstLine="643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color w:val="000000"/>
          <w:kern w:val="0"/>
          <w:sz w:val="32"/>
          <w:szCs w:val="32"/>
        </w:rPr>
        <w:t xml:space="preserve">第四条  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立项评审专家组依据项目类别和特点从专家库中随机抽取。评审申报资金1000万元以下的项目抽取7人形成评审专家组，其中，相关专业领域专家5人，财务管理类专家2人。评审申报资金1000万元（含）以上的项目抽取9人形成评审专家组，其中，相关专业领域专家6人，财务管理类专家3人。每类项目评审专家应当抽取若干名候补专家，并按先后顺序排列递补。评审专家的抽取采用计算机软件操作，确保随机性。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 xml:space="preserve">    评审专家抽取结果应当由福慈司记录备案备查。参加评审专家抽取的有关人员对被抽取专家的姓名、单位和联系方式等内容负有保密的义务。</w:t>
      </w:r>
    </w:p>
    <w:p>
      <w:pPr>
        <w:spacing w:line="600" w:lineRule="exact"/>
        <w:ind w:firstLine="643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color w:val="000000"/>
          <w:kern w:val="0"/>
          <w:sz w:val="32"/>
          <w:szCs w:val="32"/>
        </w:rPr>
        <w:t xml:space="preserve">第五条  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评审专家应当具备以下条件：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（一）无违法、违规和违纪等不良记录；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（二）具有良好的职业道德，在评审过程中能以客观公正、廉洁自律、遵纪守法为原则履行职责；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（三）掌握相关国家法律法规政策、标准规范，熟悉彩票公益金使用管理的规定和要求，具有较高的业务素质，具备评审所需要的相关专业能力，并满足以下条件之一：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1.具有副高级以上专业技术职称的人员（含工程技术人员）；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2.获得高级会计师等职称的财务管理人员；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3.高校、科研院所、企事业的主要技术负责人或财务负责人；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4.从事相关领域研究工作满8年，具有丰富实践工作经验的专业人士；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（四）身体健康，年龄不超过65周岁（正高职称人员、博士生导师等的年龄可放宽至70周岁）；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（五）本人愿意以独立身份参加评审工作，对自身评审行为负责，并接受民政部相关部门的管理和监督；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（六）国家法律法规及民政部要求的其他条件。</w:t>
      </w:r>
    </w:p>
    <w:p>
      <w:pPr>
        <w:spacing w:line="600" w:lineRule="exact"/>
        <w:ind w:firstLine="643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color w:val="000000"/>
          <w:kern w:val="0"/>
          <w:sz w:val="32"/>
          <w:szCs w:val="32"/>
        </w:rPr>
        <w:t xml:space="preserve">第六条  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评审专家有下列情形之一的，应当予以解聘；对于出现后两种情形之一的，应当依法依规追究其相关责任并禁止其再进入专家库：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（一）连续两次无故不参加评审的；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（二）业务能力不足，不能胜任评审工作的；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（三）本人申请不担任评审专家的；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（四）工作不认真负责造成评审结果严重失真的；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（五）在评审工作中存在泄密、串通等严重违规行为的。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00"/>
    <w:rsid w:val="00924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2018-07-03T02:38:00Z</dcterms:created>
  <dc:creator>小娟</dc:creator>
  <cp:lastModifiedBy>小娟</cp:lastModifiedBy>
  <dcterms:modified xsi:type="dcterms:W3CDTF">2018-07-03T02:38:58Z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