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hAnsi="宋体"/>
          <w:sz w:val="30"/>
          <w:szCs w:val="30"/>
        </w:rPr>
      </w:pPr>
    </w:p>
    <w:p>
      <w:pPr>
        <w:jc w:val="center"/>
        <w:rPr>
          <w:rFonts w:ascii="黑体" w:hAnsi="ˎ̥" w:eastAsia="黑体"/>
          <w:sz w:val="44"/>
          <w:szCs w:val="44"/>
        </w:rPr>
      </w:pPr>
      <w:r>
        <w:rPr>
          <w:rFonts w:hint="eastAsia" w:ascii="黑体" w:hAnsi="ˎ̥" w:eastAsia="黑体"/>
          <w:sz w:val="44"/>
          <w:szCs w:val="44"/>
        </w:rPr>
        <w:t>海南省民政厅部门2017年度部门决算</w:t>
      </w:r>
    </w:p>
    <w:p>
      <w:pPr>
        <w:jc w:val="center"/>
        <w:rPr>
          <w:rFonts w:ascii="黑体" w:hAnsi="ˎ̥" w:eastAsia="黑体"/>
          <w:sz w:val="44"/>
          <w:szCs w:val="44"/>
        </w:rPr>
      </w:pP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8"/>
        <w:tabs>
          <w:tab w:val="right" w:leader="dot" w:pos="8306"/>
        </w:tabs>
        <w:rPr>
          <w:sz w:val="32"/>
          <w:szCs w:val="32"/>
        </w:rPr>
      </w:pPr>
      <w:r>
        <w:fldChar w:fldCharType="begin"/>
      </w:r>
      <w:r>
        <w:instrText xml:space="preserve">HYPERLINK  \l "_Toc1704_WPSOffice_Level1" </w:instrText>
      </w:r>
      <w:r>
        <w:fldChar w:fldCharType="separate"/>
      </w:r>
      <w:r>
        <w:rPr>
          <w:rFonts w:hint="eastAsia" w:ascii="黑体" w:hAnsi="ˎ̥" w:eastAsia="黑体"/>
          <w:b/>
          <w:bCs/>
          <w:sz w:val="32"/>
          <w:szCs w:val="32"/>
        </w:rPr>
        <w:t>一、部门概况</w:t>
      </w:r>
      <w:r>
        <w:rPr>
          <w:b/>
          <w:bCs/>
          <w:sz w:val="32"/>
          <w:szCs w:val="32"/>
        </w:rPr>
        <w:tab/>
      </w:r>
      <w:r>
        <w:rPr>
          <w:rFonts w:hint="eastAsia"/>
          <w:b/>
          <w:bCs/>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"_Toc20274_WPSOffice_Level2" </w:instrText>
      </w:r>
      <w: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8"/>
        <w:tabs>
          <w:tab w:val="right" w:leader="dot" w:pos="8306"/>
        </w:tabs>
        <w:rPr>
          <w:sz w:val="32"/>
          <w:szCs w:val="32"/>
        </w:rPr>
      </w:pPr>
      <w:r>
        <w:fldChar w:fldCharType="begin"/>
      </w:r>
      <w:r>
        <w:instrText xml:space="preserve">HYPERLINK  \l "_Toc28253_WPSOffice_Level1" </w:instrText>
      </w:r>
      <w:r>
        <w:fldChar w:fldCharType="separate"/>
      </w:r>
      <w:r>
        <w:rPr>
          <w:rFonts w:hint="eastAsia" w:ascii="黑体" w:hAnsi="ˎ̥" w:eastAsia="黑体"/>
          <w:b/>
          <w:bCs/>
          <w:sz w:val="32"/>
          <w:szCs w:val="32"/>
        </w:rPr>
        <w:t>二、2017年度部门决算报表</w:t>
      </w:r>
      <w:r>
        <w:rPr>
          <w:b/>
          <w:bCs/>
          <w:sz w:val="32"/>
          <w:szCs w:val="32"/>
        </w:rPr>
        <w:tab/>
      </w:r>
      <w:r>
        <w:rPr>
          <w:rFonts w:hint="eastAsia"/>
          <w:b/>
          <w:bCs/>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"_Toc11518_WPSOffice_Level2" </w:instrText>
      </w:r>
      <w:r>
        <w:fldChar w:fldCharType="separate"/>
      </w:r>
      <w:r>
        <w:rPr>
          <w:rFonts w:hint="eastAsia" w:ascii="仿宋" w:hAnsi="仿宋" w:eastAsia="仿宋" w:cs="仿宋"/>
          <w:sz w:val="32"/>
          <w:szCs w:val="32"/>
        </w:rPr>
        <w:t>（一）收入支出决算总表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"_Toc28622_WPSOffice_Level2" </w:instrText>
      </w:r>
      <w:r>
        <w:fldChar w:fldCharType="separate"/>
      </w:r>
      <w:r>
        <w:rPr>
          <w:rFonts w:hint="eastAsia" w:ascii="仿宋" w:hAnsi="仿宋" w:eastAsia="仿宋" w:cs="仿宋"/>
          <w:sz w:val="32"/>
          <w:szCs w:val="32"/>
        </w:rPr>
        <w:t>（二）收入决算表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"_Toc5489_WPSOffice_Level2" </w:instrText>
      </w:r>
      <w:r>
        <w:fldChar w:fldCharType="separate"/>
      </w:r>
      <w:r>
        <w:rPr>
          <w:rFonts w:hint="eastAsia" w:ascii="仿宋" w:hAnsi="仿宋" w:eastAsia="仿宋" w:cs="仿宋"/>
          <w:sz w:val="32"/>
          <w:szCs w:val="32"/>
        </w:rPr>
        <w:t>（三）支出决算表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"_Toc23493_WPSOffice_Level2" </w:instrText>
      </w:r>
      <w:r>
        <w:fldChar w:fldCharType="separate"/>
      </w:r>
      <w:r>
        <w:rPr>
          <w:rFonts w:hint="eastAsia" w:ascii="仿宋" w:hAnsi="仿宋" w:eastAsia="仿宋" w:cs="仿宋"/>
          <w:sz w:val="32"/>
          <w:szCs w:val="32"/>
        </w:rPr>
        <w:t>（四） 财政拨款收入支出决算总表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"_Toc7879_WPSOffice_Level2" </w:instrText>
      </w:r>
      <w:r>
        <w:fldChar w:fldCharType="separate"/>
      </w:r>
      <w:r>
        <w:rPr>
          <w:rFonts w:hint="eastAsia" w:ascii="仿宋" w:hAnsi="仿宋" w:eastAsia="仿宋" w:cs="仿宋"/>
          <w:sz w:val="32"/>
          <w:szCs w:val="32"/>
        </w:rPr>
        <w:t>（五）一般公共预算财政拨款收入支出决算表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"_Toc8373_WPSOffice_Level2" </w:instrText>
      </w:r>
      <w:r>
        <w:fldChar w:fldCharType="separate"/>
      </w:r>
      <w:r>
        <w:rPr>
          <w:rFonts w:hint="eastAsia" w:ascii="仿宋" w:hAnsi="仿宋" w:eastAsia="仿宋" w:cs="仿宋"/>
          <w:sz w:val="32"/>
          <w:szCs w:val="32"/>
        </w:rPr>
        <w:t>（六）一般公共预算财政拨款基本支出决算明细表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（七）一般公共预算财政拨款“三公”经费支出决算表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（八）政府性基金预算财政拨款收入支出决算表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8"/>
        <w:tabs>
          <w:tab w:val="right" w:leader="dot" w:pos="8306"/>
        </w:tabs>
        <w:rPr>
          <w:sz w:val="32"/>
          <w:szCs w:val="32"/>
        </w:rPr>
      </w:pPr>
      <w:r>
        <w:fldChar w:fldCharType="begin"/>
      </w:r>
      <w:r>
        <w:instrText xml:space="preserve">HYPERLINK  \l "_Toc27590_WPSOffice_Level1" </w:instrText>
      </w:r>
      <w:r>
        <w:fldChar w:fldCharType="separate"/>
      </w:r>
      <w:r>
        <w:rPr>
          <w:rFonts w:hint="eastAsia" w:ascii="黑体" w:hAnsi="ˎ̥" w:eastAsia="黑体"/>
          <w:b/>
          <w:bCs/>
          <w:sz w:val="32"/>
          <w:szCs w:val="32"/>
        </w:rPr>
        <w:t>三、2017年度部门决算情况说明</w:t>
      </w:r>
      <w:r>
        <w:rPr>
          <w:b/>
          <w:bCs/>
          <w:sz w:val="32"/>
          <w:szCs w:val="32"/>
        </w:rPr>
        <w:tab/>
      </w:r>
      <w:r>
        <w:rPr>
          <w:rFonts w:hint="eastAsia"/>
          <w:b/>
          <w:bCs/>
          <w:sz w:val="32"/>
          <w:szCs w:val="32"/>
        </w:rPr>
        <w:t>4</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（四）财政拨款收入支出决算总体情况说明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fldChar w:fldCharType="end"/>
      </w:r>
      <w:r>
        <w:rPr>
          <w:rFonts w:hint="eastAsia" w:ascii="仿宋" w:hAnsi="仿宋" w:eastAsia="仿宋" w:cs="仿宋"/>
          <w:sz w:val="32"/>
          <w:szCs w:val="32"/>
        </w:rPr>
        <w:tab/>
      </w:r>
      <w:r>
        <w:rPr>
          <w:rFonts w:hint="eastAsia" w:ascii="仿宋" w:hAnsi="仿宋" w:eastAsia="仿宋" w:cs="仿宋"/>
          <w:sz w:val="32"/>
          <w:szCs w:val="32"/>
        </w:rPr>
        <w:t>6</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（七）</w:t>
      </w:r>
      <w:r>
        <w:rPr>
          <w:rFonts w:hint="eastAsia" w:ascii="仿宋" w:hAnsi="仿宋" w:eastAsia="仿宋" w:cs="仿宋"/>
          <w:bCs/>
          <w:w w:val="98"/>
          <w:sz w:val="32"/>
          <w:szCs w:val="32"/>
        </w:rPr>
        <w:t>一般公共预算财政拨款“三公”经费支出决算情况说明</w:t>
      </w:r>
    </w:p>
    <w:p>
      <w:pPr>
        <w:pStyle w:val="7"/>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7</w:t>
      </w:r>
      <w:r>
        <w:rPr>
          <w:rFonts w:hint="eastAsia" w:ascii="仿宋" w:hAnsi="仿宋" w:eastAsia="仿宋" w:cs="仿宋"/>
          <w:sz w:val="32"/>
          <w:szCs w:val="32"/>
        </w:rP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（八）预算绩效情况说明</w:t>
      </w:r>
      <w:r>
        <w:rPr>
          <w:rFonts w:hint="eastAsia" w:ascii="仿宋" w:hAnsi="仿宋" w:eastAsia="仿宋" w:cs="仿宋"/>
          <w:sz w:val="32"/>
          <w:szCs w:val="32"/>
        </w:rPr>
        <w:tab/>
      </w:r>
      <w:r>
        <w:rPr>
          <w:rFonts w:hint="eastAsia" w:ascii="仿宋" w:hAnsi="仿宋" w:eastAsia="仿宋" w:cs="仿宋"/>
          <w:sz w:val="32"/>
          <w:szCs w:val="32"/>
        </w:rPr>
        <w:t>9</w:t>
      </w:r>
      <w:r>
        <w:fldChar w:fldCharType="end"/>
      </w:r>
    </w:p>
    <w:p>
      <w:pPr>
        <w:pStyle w:val="7"/>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（九）其他重要事项情况说明</w:t>
      </w:r>
      <w:r>
        <w:rPr>
          <w:rFonts w:hint="eastAsia" w:ascii="仿宋" w:hAnsi="仿宋" w:eastAsia="仿宋" w:cs="仿宋"/>
          <w:sz w:val="32"/>
          <w:szCs w:val="32"/>
        </w:rPr>
        <w:tab/>
      </w:r>
      <w:r>
        <w:rPr>
          <w:rFonts w:hint="eastAsia" w:ascii="仿宋" w:hAnsi="仿宋" w:eastAsia="仿宋" w:cs="仿宋"/>
          <w:sz w:val="32"/>
          <w:szCs w:val="32"/>
        </w:rPr>
        <w:t>1</w:t>
      </w:r>
      <w:r>
        <w:fldChar w:fldCharType="end"/>
      </w:r>
      <w:r>
        <w:rPr>
          <w:rFonts w:hint="eastAsia" w:ascii="仿宋" w:hAnsi="仿宋" w:eastAsia="仿宋" w:cs="仿宋"/>
          <w:sz w:val="32"/>
          <w:szCs w:val="32"/>
        </w:rPr>
        <w:t>0</w:t>
      </w:r>
    </w:p>
    <w:p>
      <w:pPr>
        <w:pStyle w:val="8"/>
        <w:tabs>
          <w:tab w:val="right" w:leader="dot" w:pos="8306"/>
        </w:tabs>
        <w:rPr>
          <w:sz w:val="32"/>
          <w:szCs w:val="32"/>
        </w:rPr>
      </w:pPr>
      <w:r>
        <w:fldChar w:fldCharType="begin"/>
      </w:r>
      <w:r>
        <w:instrText xml:space="preserve">HYPERLINK  \l "_Toc15425_WPSOffice_Level1" </w:instrText>
      </w:r>
      <w:r>
        <w:fldChar w:fldCharType="separate"/>
      </w:r>
      <w:r>
        <w:rPr>
          <w:rFonts w:hint="eastAsia" w:ascii="黑体" w:hAnsi="ˎ̥" w:eastAsia="黑体"/>
          <w:b/>
          <w:bCs/>
          <w:sz w:val="32"/>
          <w:szCs w:val="32"/>
        </w:rPr>
        <w:t>四、名词解释</w:t>
      </w:r>
      <w:r>
        <w:rPr>
          <w:b/>
          <w:bCs/>
          <w:sz w:val="32"/>
          <w:szCs w:val="32"/>
        </w:rPr>
        <w:tab/>
      </w:r>
      <w:r>
        <w:rPr>
          <w:b/>
          <w:bCs/>
          <w:sz w:val="32"/>
          <w:szCs w:val="32"/>
        </w:rPr>
        <w:t>1</w:t>
      </w:r>
      <w:r>
        <w:rPr>
          <w:rFonts w:hint="eastAsia"/>
          <w:b/>
          <w:bCs/>
          <w:sz w:val="32"/>
          <w:szCs w:val="32"/>
        </w:rPr>
        <w:t>1</w:t>
      </w:r>
      <w:r>
        <w:fldChar w:fldCharType="end"/>
      </w:r>
      <w:bookmarkEnd w:id="0"/>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rPr>
          <w:rFonts w:ascii="黑体" w:hAnsi="ˎ̥" w:eastAsia="黑体"/>
          <w:sz w:val="32"/>
          <w:szCs w:val="32"/>
        </w:rPr>
      </w:pPr>
    </w:p>
    <w:p>
      <w:pPr>
        <w:ind w:firstLine="640" w:firstLineChars="200"/>
        <w:rPr>
          <w:rFonts w:ascii="仿宋_GB2312" w:hAnsi="ˎ̥" w:eastAsia="仿宋_GB2312" w:cs="仿宋_GB2312"/>
          <w:b/>
          <w:sz w:val="32"/>
          <w:szCs w:val="32"/>
        </w:rPr>
      </w:pPr>
      <w:bookmarkStart w:id="1" w:name="_Toc8164_WPSOffice_Level1"/>
      <w:bookmarkStart w:id="2" w:name="_Toc30690_WPSOffice_Level1"/>
      <w:bookmarkStart w:id="3" w:name="_Toc6234_WPSOffice_Level1"/>
      <w:bookmarkStart w:id="4" w:name="_Toc15521_WPSOffice_Level1"/>
      <w:bookmarkStart w:id="5" w:name="_Toc30451_WPSOffice_Level1"/>
      <w:bookmarkStart w:id="6" w:name="_Toc28253_WPSOffice_Level1"/>
      <w:r>
        <w:rPr>
          <w:rFonts w:hint="eastAsia" w:ascii="仿宋_GB2312" w:hAnsi="ˎ̥" w:eastAsia="仿宋_GB2312" w:cs="仿宋_GB2312"/>
          <w:b/>
          <w:sz w:val="32"/>
          <w:szCs w:val="32"/>
        </w:rPr>
        <w:t>一、海南省民政厅概况</w:t>
      </w:r>
    </w:p>
    <w:p>
      <w:pPr>
        <w:spacing w:line="600" w:lineRule="exact"/>
        <w:ind w:firstLine="640" w:firstLineChars="200"/>
        <w:rPr>
          <w:rFonts w:ascii="仿宋_GB2312" w:hAnsi="ˎ̥" w:eastAsia="仿宋_GB2312" w:cs="仿宋_GB2312"/>
          <w:sz w:val="32"/>
          <w:szCs w:val="32"/>
        </w:rPr>
      </w:pPr>
      <w:r>
        <w:rPr>
          <w:rFonts w:hint="eastAsia" w:ascii="仿宋_GB2312" w:hAnsi="ˎ̥" w:eastAsia="仿宋_GB2312" w:cs="仿宋_GB2312"/>
          <w:sz w:val="32"/>
          <w:szCs w:val="32"/>
        </w:rPr>
        <w:t>1、部门（单位）主要职能</w:t>
      </w:r>
    </w:p>
    <w:p>
      <w:pPr>
        <w:spacing w:line="600" w:lineRule="exact"/>
        <w:ind w:firstLine="640" w:firstLineChars="200"/>
        <w:rPr>
          <w:rFonts w:ascii="仿宋_GB2312" w:hAnsi="仿宋_GB2312" w:eastAsia="仿宋_GB2312" w:cs="仿宋_GB2312"/>
          <w:sz w:val="32"/>
          <w:szCs w:val="32"/>
        </w:rPr>
      </w:pPr>
      <w:r>
        <w:rPr>
          <w:rFonts w:hint="eastAsia" w:ascii="仿宋_GB2312" w:hAnsi="ˎ̥" w:eastAsia="仿宋_GB2312" w:cs="仿宋_GB2312"/>
          <w:sz w:val="32"/>
          <w:szCs w:val="32"/>
        </w:rPr>
        <w:t>（一）</w:t>
      </w:r>
      <w:r>
        <w:rPr>
          <w:rFonts w:hint="eastAsia" w:ascii="仿宋_GB2312" w:hAnsi="仿宋_GB2312" w:eastAsia="仿宋_GB2312" w:cs="仿宋_GB2312"/>
          <w:sz w:val="32"/>
          <w:szCs w:val="32"/>
        </w:rPr>
        <w:t>贯彻执行党和国家有关民政工作的方针政策、法律法规规章；依法拟定并组织实施全省民政工作的政策、法规和发展规划、计划。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（二）负责全省性社团、跨市县社团的登记和年度检查；监督社团活动，会同有关部门查处社团组织的违法行为和未经登记而以社团名义开展活动的非法组织。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（三）负责省属民办非企业单位、基金会的登记和年度检查；会同有关部门查处民办非企业单位、基金会的违法行为和未经登记而以民办非企业单位、基金会名义开展活动的非法组织。</w:t>
      </w:r>
    </w:p>
    <w:p>
      <w:pPr>
        <w:spacing w:line="600" w:lineRule="exact"/>
        <w:ind w:firstLine="640" w:firstLineChars="200"/>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4"/>
          <w:sz w:val="32"/>
          <w:szCs w:val="32"/>
        </w:rPr>
        <w:t>组织、指导拥军优属活动；研究提出各类优抚对象优待、抚恤、补助标准和国家机关工作人员伤亡抚恤标准；拟定革命烈士、因公伤亡人员褒扬办法；审核报批全省重点烈士纪念建筑物保护单位；承担省拥军优属拥政爱民工作领导小组的日常工作。</w:t>
      </w:r>
    </w:p>
    <w:p>
      <w:pPr>
        <w:spacing w:line="60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（五）</w:t>
      </w:r>
      <w:r>
        <w:rPr>
          <w:rFonts w:hint="eastAsia" w:ascii="仿宋_GB2312" w:hAnsi="仿宋_GB2312" w:eastAsia="仿宋_GB2312" w:cs="仿宋_GB2312"/>
          <w:sz w:val="32"/>
          <w:szCs w:val="32"/>
        </w:rPr>
        <w:t>拟定全省退伍义务兵、转业士官、复员干部、移交地方安置的军队离退休干部和军队无军籍退休退职职工的接收安置计划及实施方案，提出生活待遇标准；拟定军队离退休干部休养所管理办法和军供站设置规划；指导军地两用人才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（六）负责组织、协调、指导全省救灾工作；组织检查上报灾情，管理救灾款物并监督使用；组织、指导救灾捐赠工作；拟定并组织实施减灾规划，开展国内国际减灾合作。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建立和实施全省城乡居民最低生活保障制度；负责组织全省城乡居民最低生活保障、医疗救助、临时救助、生活无着人员救助工作；负责组织和指导扶贫济困等社会互助活动和社会救济工作；负责全省城乡特殊救济对象的救济工作；负责全省农村五保供养工作和农村敬老院的建设与服务管理；负责全省城乡救助体系建设的协调和日常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（八）负责乡镇和市县行政区域的设立、撤销、调整及市县行政区域界线的勘定、管理和边界争议的调处工作；负责乡镇和市县行政区划名称、重要自然地理实体地名的命名、更名和地名标志的设置及管理工作。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研究提出加强和改进基层政权建设的意见和建议；指导村（居）民委员会民主选举、民主决策、民主管理和民主监督工作，推动基层民主政治建设；指导村（居）民委员会建设，制定社区建设工作措施和办法，推动社区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研究提出社会福利机构扶持保护办法；指导社会福利机构和民办非企业单位的管理工作；指导监督全省福利彩票发行和参与本级福利资金管理工作；拟定全省促进慈善事业发展政策，组织、指导全省社会捐助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（十一）指导全省婚姻登记、收养登记、婚姻习俗改革工作；负责推进殡葬改革和殡葬管理工作；负责全省流浪乞讨人员救助服务机构管理工作。</w:t>
      </w:r>
    </w:p>
    <w:p>
      <w:pPr>
        <w:spacing w:line="600" w:lineRule="exact"/>
        <w:ind w:firstLine="640" w:firstLineChars="200"/>
        <w:rPr>
          <w:rFonts w:ascii="仿宋_GB2312" w:hAnsi="仿宋_GB2312" w:eastAsia="仿宋_GB2312" w:cs="仿宋_GB2312"/>
          <w:sz w:val="32"/>
          <w:szCs w:val="32"/>
        </w:rPr>
      </w:pPr>
      <w:bookmarkStart w:id="101" w:name="_GoBack"/>
      <w:bookmarkEnd w:id="101"/>
      <w:r>
        <w:rPr>
          <w:rFonts w:hint="eastAsia" w:ascii="仿宋_GB2312" w:hAnsi="仿宋_GB2312" w:eastAsia="仿宋_GB2312" w:cs="仿宋_GB2312"/>
          <w:sz w:val="32"/>
          <w:szCs w:val="32"/>
        </w:rPr>
        <w:t>（十二）会同有关部门拟定全省社会工作发展规划、政策和职业规范，推进社会工作人才队伍建设和相关志愿者队伍建设。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（十三）负责对所属事业单位贯彻执行党和国家方针政策、法律法规规章的检查监督；协同有关部门监管其非经营性国有资产。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负责研究提出全省老年人权益保障政策、法规和老龄事业发展规划，拟定实施办法；负责检查、监督全省老年人权益保障法律、法规的贯彻执行；指导全省开展老年人权益保障法律、法规的宣传教育活动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（十五检查、指导市县民政事务工作。</w:t>
      </w:r>
    </w:p>
    <w:p>
      <w:pPr>
        <w:spacing w:line="600" w:lineRule="exact"/>
        <w:ind w:firstLine="640" w:firstLineChars="200"/>
        <w:rPr>
          <w:rFonts w:ascii="仿宋_GB2312" w:hAnsi="楷体_GB2312" w:eastAsia="仿宋_GB2312" w:cs="仿宋_GB2312"/>
          <w:b/>
          <w:sz w:val="32"/>
          <w:szCs w:val="32"/>
        </w:rPr>
      </w:pPr>
      <w:r>
        <w:rPr>
          <w:rFonts w:hint="eastAsia" w:ascii="仿宋_GB2312" w:hAnsi="仿宋_GB2312" w:eastAsia="仿宋_GB2312" w:cs="仿宋_GB2312"/>
          <w:sz w:val="32"/>
          <w:szCs w:val="32"/>
        </w:rPr>
        <w:t>（十六）承办省政府和上级部门交办的工作。</w:t>
      </w:r>
    </w:p>
    <w:p>
      <w:pPr>
        <w:ind w:firstLine="640" w:firstLineChars="200"/>
        <w:rPr>
          <w:rFonts w:ascii="仿宋_GB2312" w:hAnsi="ˎ̥" w:eastAsia="仿宋_GB2312" w:cs="仿宋_GB2312"/>
          <w:sz w:val="32"/>
          <w:szCs w:val="32"/>
        </w:rPr>
      </w:pPr>
      <w:r>
        <w:rPr>
          <w:rFonts w:hint="eastAsia" w:ascii="仿宋_GB2312" w:hAnsi="ˎ̥" w:eastAsia="仿宋_GB2312" w:cs="仿宋_GB2312"/>
          <w:sz w:val="32"/>
          <w:szCs w:val="32"/>
        </w:rPr>
        <w:t>2、部门决算单位构成</w:t>
      </w:r>
    </w:p>
    <w:p>
      <w:pPr>
        <w:spacing w:before="100" w:beforeAutospacing="1" w:after="100" w:afterAutospacing="1"/>
        <w:ind w:firstLine="640" w:firstLineChars="200"/>
        <w:rPr>
          <w:rFonts w:ascii="仿宋_GB2312" w:hAnsi="ˎ̥" w:eastAsia="仿宋_GB2312" w:cs="仿宋_GB2312"/>
          <w:sz w:val="32"/>
          <w:szCs w:val="32"/>
        </w:rPr>
      </w:pPr>
      <w:r>
        <w:rPr>
          <w:rFonts w:hint="eastAsia" w:ascii="仿宋_GB2312" w:hAnsi="ˎ̥" w:eastAsia="仿宋_GB2312" w:cs="仿宋_GB2312"/>
          <w:sz w:val="32"/>
          <w:szCs w:val="32"/>
        </w:rPr>
        <w:t>海南省民政厅由厅本级及海南省离休退休军官休养所、海南省军供站、海南省救助管理站、海南省救灾物资储备中心、海南省民政厅信息中心、海南省托老院、海南省慈善总会办公室7个直属单位构成。</w:t>
      </w:r>
    </w:p>
    <w:p>
      <w:pPr>
        <w:ind w:firstLine="645"/>
        <w:rPr>
          <w:rFonts w:ascii="黑体" w:hAnsi="ˎ̥" w:eastAsia="黑体"/>
          <w:sz w:val="32"/>
          <w:szCs w:val="32"/>
        </w:rPr>
      </w:pPr>
      <w:r>
        <w:rPr>
          <w:rFonts w:hint="eastAsia" w:ascii="黑体" w:hAnsi="ˎ̥" w:eastAsia="黑体"/>
          <w:sz w:val="32"/>
          <w:szCs w:val="32"/>
        </w:rPr>
        <w:t>二、2017年度部门决算报表</w:t>
      </w:r>
      <w:bookmarkEnd w:id="1"/>
      <w:bookmarkEnd w:id="2"/>
      <w:bookmarkEnd w:id="3"/>
      <w:bookmarkEnd w:id="4"/>
      <w:bookmarkEnd w:id="5"/>
      <w:bookmarkEnd w:id="6"/>
    </w:p>
    <w:p>
      <w:pPr>
        <w:ind w:firstLine="645"/>
        <w:rPr>
          <w:rFonts w:ascii="楷体" w:hAnsi="楷体" w:eastAsia="楷体" w:cs="楷体"/>
          <w:sz w:val="32"/>
          <w:szCs w:val="32"/>
        </w:rPr>
      </w:pPr>
      <w:bookmarkStart w:id="7" w:name="_Toc6211_WPSOffice_Level2"/>
      <w:bookmarkStart w:id="8" w:name="_Toc32695_WPSOffice_Level2"/>
      <w:bookmarkStart w:id="9" w:name="_Toc8867_WPSOffice_Level2"/>
      <w:bookmarkStart w:id="10" w:name="_Toc32472_WPSOffice_Level2"/>
      <w:bookmarkStart w:id="11" w:name="_Toc4029_WPSOffice_Level2"/>
      <w:bookmarkStart w:id="12" w:name="_Toc11518_WPSOffice_Level2"/>
      <w:r>
        <w:rPr>
          <w:rFonts w:hint="eastAsia" w:ascii="楷体" w:hAnsi="楷体" w:eastAsia="楷体" w:cs="楷体"/>
          <w:sz w:val="32"/>
          <w:szCs w:val="32"/>
        </w:rPr>
        <w:t>（一）收入支出决算总表（见正文附件）</w:t>
      </w:r>
      <w:bookmarkEnd w:id="7"/>
      <w:bookmarkEnd w:id="8"/>
      <w:bookmarkEnd w:id="9"/>
      <w:r>
        <w:rPr>
          <w:rFonts w:hint="eastAsia" w:ascii="楷体" w:hAnsi="楷体" w:eastAsia="楷体" w:cs="楷体"/>
          <w:sz w:val="32"/>
          <w:szCs w:val="32"/>
        </w:rPr>
        <w:t>。</w:t>
      </w:r>
      <w:bookmarkEnd w:id="10"/>
      <w:bookmarkEnd w:id="11"/>
      <w:bookmarkEnd w:id="12"/>
    </w:p>
    <w:p>
      <w:pPr>
        <w:ind w:firstLine="645"/>
        <w:rPr>
          <w:rFonts w:ascii="楷体" w:hAnsi="楷体" w:eastAsia="楷体" w:cs="楷体"/>
          <w:sz w:val="32"/>
          <w:szCs w:val="32"/>
        </w:rPr>
      </w:pPr>
      <w:bookmarkStart w:id="13" w:name="_Toc23139_WPSOffice_Level2"/>
      <w:bookmarkStart w:id="14" w:name="_Toc25608_WPSOffice_Level2"/>
      <w:bookmarkStart w:id="15" w:name="_Toc26621_WPSOffice_Level2"/>
      <w:bookmarkStart w:id="16" w:name="_Toc30334_WPSOffice_Level2"/>
      <w:bookmarkStart w:id="17" w:name="_Toc14349_WPSOffice_Level2"/>
      <w:bookmarkStart w:id="18" w:name="_Toc28622_WPSOffice_Level2"/>
      <w:r>
        <w:rPr>
          <w:rFonts w:hint="eastAsia" w:ascii="楷体" w:hAnsi="楷体" w:eastAsia="楷体" w:cs="楷体"/>
          <w:sz w:val="32"/>
          <w:szCs w:val="32"/>
        </w:rPr>
        <w:t>（二）收入决算表（见正文附件）</w:t>
      </w:r>
      <w:bookmarkEnd w:id="13"/>
      <w:bookmarkEnd w:id="14"/>
      <w:bookmarkEnd w:id="15"/>
      <w:r>
        <w:rPr>
          <w:rFonts w:hint="eastAsia" w:ascii="楷体" w:hAnsi="楷体" w:eastAsia="楷体" w:cs="楷体"/>
          <w:sz w:val="32"/>
          <w:szCs w:val="32"/>
        </w:rPr>
        <w:t>。</w:t>
      </w:r>
      <w:bookmarkEnd w:id="16"/>
      <w:bookmarkEnd w:id="17"/>
      <w:bookmarkEnd w:id="18"/>
    </w:p>
    <w:p>
      <w:pPr>
        <w:ind w:firstLine="645"/>
        <w:rPr>
          <w:rFonts w:ascii="楷体" w:hAnsi="楷体" w:eastAsia="楷体" w:cs="楷体"/>
          <w:sz w:val="32"/>
          <w:szCs w:val="32"/>
        </w:rPr>
      </w:pPr>
      <w:bookmarkStart w:id="19" w:name="_Toc3262_WPSOffice_Level2"/>
      <w:bookmarkStart w:id="20" w:name="_Toc17626_WPSOffice_Level2"/>
      <w:bookmarkStart w:id="21" w:name="_Toc17858_WPSOffice_Level2"/>
      <w:bookmarkStart w:id="22" w:name="_Toc13854_WPSOffice_Level2"/>
      <w:bookmarkStart w:id="23" w:name="_Toc14658_WPSOffice_Level2"/>
      <w:bookmarkStart w:id="24" w:name="_Toc5489_WPSOffice_Level2"/>
      <w:r>
        <w:rPr>
          <w:rFonts w:hint="eastAsia" w:ascii="楷体" w:hAnsi="楷体" w:eastAsia="楷体" w:cs="楷体"/>
          <w:sz w:val="32"/>
          <w:szCs w:val="32"/>
        </w:rPr>
        <w:t>（三）支出决算表（见正文附件）</w:t>
      </w:r>
      <w:bookmarkEnd w:id="19"/>
      <w:bookmarkEnd w:id="20"/>
      <w:bookmarkEnd w:id="21"/>
      <w:r>
        <w:rPr>
          <w:rFonts w:hint="eastAsia" w:ascii="楷体" w:hAnsi="楷体" w:eastAsia="楷体" w:cs="楷体"/>
          <w:sz w:val="32"/>
          <w:szCs w:val="32"/>
        </w:rPr>
        <w:t>。</w:t>
      </w:r>
      <w:bookmarkEnd w:id="22"/>
      <w:bookmarkEnd w:id="23"/>
      <w:bookmarkEnd w:id="24"/>
    </w:p>
    <w:p>
      <w:pPr>
        <w:ind w:firstLine="645"/>
        <w:rPr>
          <w:rFonts w:ascii="楷体" w:hAnsi="楷体" w:eastAsia="楷体" w:cs="楷体"/>
          <w:sz w:val="32"/>
          <w:szCs w:val="32"/>
        </w:rPr>
      </w:pPr>
      <w:bookmarkStart w:id="25" w:name="_Toc23591_WPSOffice_Level2"/>
      <w:bookmarkStart w:id="26" w:name="_Toc13701_WPSOffice_Level2"/>
      <w:bookmarkStart w:id="27" w:name="_Toc21415_WPSOffice_Level2"/>
      <w:bookmarkStart w:id="28" w:name="_Toc7988_WPSOffice_Level2"/>
      <w:bookmarkStart w:id="29" w:name="_Toc4265_WPSOffice_Level2"/>
      <w:bookmarkStart w:id="30" w:name="_Toc23493_WPSOffice_Level2"/>
      <w:r>
        <w:rPr>
          <w:rFonts w:hint="eastAsia" w:ascii="楷体" w:hAnsi="楷体" w:eastAsia="楷体" w:cs="楷体"/>
          <w:sz w:val="32"/>
          <w:szCs w:val="32"/>
        </w:rPr>
        <w:t>（四） 财政拨款收入支出决算总表（见正文附件）</w:t>
      </w:r>
      <w:bookmarkEnd w:id="25"/>
      <w:bookmarkEnd w:id="26"/>
      <w:bookmarkEnd w:id="27"/>
      <w:r>
        <w:rPr>
          <w:rFonts w:hint="eastAsia" w:ascii="楷体" w:hAnsi="楷体" w:eastAsia="楷体" w:cs="楷体"/>
          <w:sz w:val="32"/>
          <w:szCs w:val="32"/>
        </w:rPr>
        <w:t>。</w:t>
      </w:r>
      <w:bookmarkEnd w:id="28"/>
      <w:bookmarkEnd w:id="29"/>
      <w:bookmarkEnd w:id="30"/>
    </w:p>
    <w:p>
      <w:pPr>
        <w:ind w:firstLine="645"/>
        <w:rPr>
          <w:rFonts w:ascii="楷体" w:hAnsi="楷体" w:eastAsia="楷体" w:cs="楷体"/>
          <w:sz w:val="32"/>
          <w:szCs w:val="32"/>
        </w:rPr>
      </w:pPr>
      <w:bookmarkStart w:id="31" w:name="_Toc25166_WPSOffice_Level2"/>
      <w:bookmarkStart w:id="32" w:name="_Toc22783_WPSOffice_Level2"/>
      <w:bookmarkStart w:id="33" w:name="_Toc23829_WPSOffice_Level2"/>
      <w:bookmarkStart w:id="34" w:name="_Toc7879_WPSOffice_Level2"/>
      <w:bookmarkStart w:id="35" w:name="_Toc2158_WPSOffice_Level2"/>
      <w:bookmarkStart w:id="36" w:name="_Toc13516_WPSOffice_Level2"/>
      <w:r>
        <w:rPr>
          <w:rFonts w:hint="eastAsia" w:ascii="楷体" w:hAnsi="楷体" w:eastAsia="楷体" w:cs="楷体"/>
          <w:sz w:val="32"/>
          <w:szCs w:val="32"/>
        </w:rPr>
        <w:t>（五）一般公共预算财政拨款收入支出决算表</w:t>
      </w:r>
      <w:bookmarkEnd w:id="31"/>
      <w:bookmarkEnd w:id="32"/>
      <w:bookmarkEnd w:id="33"/>
      <w:bookmarkEnd w:id="34"/>
    </w:p>
    <w:p>
      <w:pPr>
        <w:ind w:firstLine="1302" w:firstLineChars="407"/>
        <w:rPr>
          <w:rFonts w:ascii="楷体" w:hAnsi="楷体" w:eastAsia="楷体" w:cs="楷体"/>
          <w:sz w:val="32"/>
          <w:szCs w:val="32"/>
        </w:rPr>
      </w:pPr>
      <w:r>
        <w:rPr>
          <w:rFonts w:hint="eastAsia" w:ascii="楷体" w:hAnsi="楷体" w:eastAsia="楷体" w:cs="楷体"/>
          <w:sz w:val="32"/>
          <w:szCs w:val="32"/>
        </w:rPr>
        <w:t>（见正文附件）</w:t>
      </w:r>
      <w:bookmarkEnd w:id="35"/>
      <w:bookmarkEnd w:id="36"/>
      <w:r>
        <w:rPr>
          <w:rFonts w:hint="eastAsia" w:ascii="楷体" w:hAnsi="楷体" w:eastAsia="楷体" w:cs="楷体"/>
          <w:sz w:val="32"/>
          <w:szCs w:val="32"/>
        </w:rPr>
        <w:t>。</w:t>
      </w:r>
    </w:p>
    <w:p>
      <w:pPr>
        <w:ind w:firstLine="645"/>
        <w:rPr>
          <w:rFonts w:ascii="楷体" w:hAnsi="楷体" w:eastAsia="楷体" w:cs="楷体"/>
          <w:sz w:val="32"/>
          <w:szCs w:val="32"/>
        </w:rPr>
      </w:pPr>
      <w:bookmarkStart w:id="37" w:name="_Toc2632_WPSOffice_Level2"/>
      <w:bookmarkStart w:id="38" w:name="_Toc25362_WPSOffice_Level2"/>
      <w:bookmarkStart w:id="39" w:name="_Toc17283_WPSOffice_Level2"/>
      <w:bookmarkStart w:id="40" w:name="_Toc17833_WPSOffice_Level2"/>
      <w:bookmarkStart w:id="41" w:name="_Toc5343_WPSOffice_Level2"/>
      <w:bookmarkStart w:id="42" w:name="_Toc8373_WPSOffice_Level2"/>
      <w:r>
        <w:rPr>
          <w:rFonts w:hint="eastAsia" w:ascii="楷体" w:hAnsi="楷体" w:eastAsia="楷体" w:cs="楷体"/>
          <w:sz w:val="32"/>
          <w:szCs w:val="32"/>
        </w:rPr>
        <w:t>（六）一般公共预算财政拨款基本支出决算明细表</w:t>
      </w:r>
      <w:bookmarkEnd w:id="37"/>
      <w:bookmarkEnd w:id="38"/>
      <w:bookmarkEnd w:id="39"/>
      <w:bookmarkEnd w:id="40"/>
      <w:bookmarkEnd w:id="41"/>
      <w:bookmarkEnd w:id="42"/>
    </w:p>
    <w:p>
      <w:pPr>
        <w:ind w:firstLine="1280" w:firstLineChars="400"/>
        <w:rPr>
          <w:rFonts w:ascii="楷体" w:hAnsi="楷体" w:eastAsia="楷体" w:cs="楷体"/>
          <w:sz w:val="32"/>
          <w:szCs w:val="32"/>
        </w:rPr>
      </w:pPr>
      <w:r>
        <w:rPr>
          <w:rFonts w:hint="eastAsia" w:ascii="楷体" w:hAnsi="楷体" w:eastAsia="楷体" w:cs="楷体"/>
          <w:sz w:val="32"/>
          <w:szCs w:val="32"/>
        </w:rPr>
        <w:t>（见正文附件）。</w:t>
      </w:r>
    </w:p>
    <w:p>
      <w:pPr>
        <w:ind w:left="1118" w:leftChars="304" w:hanging="480" w:hangingChars="150"/>
        <w:rPr>
          <w:rFonts w:ascii="楷体" w:hAnsi="楷体" w:eastAsia="楷体" w:cs="楷体"/>
          <w:sz w:val="32"/>
          <w:szCs w:val="32"/>
        </w:rPr>
      </w:pPr>
      <w:bookmarkStart w:id="43" w:name="_Toc11799_WPSOffice_Level2"/>
      <w:bookmarkStart w:id="44" w:name="_Toc13345_WPSOffice_Level2"/>
      <w:bookmarkStart w:id="45" w:name="_Toc5594_WPSOffice_Level2"/>
      <w:bookmarkStart w:id="46" w:name="_Toc1533_WPSOffice_Level2"/>
      <w:bookmarkStart w:id="47" w:name="_Toc6020_WPSOffice_Level2"/>
      <w:bookmarkStart w:id="48" w:name="_Toc21310_WPSOffice_Level2"/>
      <w:r>
        <w:rPr>
          <w:rFonts w:hint="eastAsia" w:ascii="楷体" w:hAnsi="楷体" w:eastAsia="楷体" w:cs="楷体"/>
          <w:sz w:val="32"/>
          <w:szCs w:val="32"/>
        </w:rPr>
        <w:t>（七）政府性基金预算财政拨款收入支出决算表</w:t>
      </w:r>
      <w:bookmarkEnd w:id="43"/>
      <w:bookmarkEnd w:id="44"/>
      <w:bookmarkEnd w:id="45"/>
      <w:bookmarkEnd w:id="46"/>
      <w:bookmarkEnd w:id="47"/>
      <w:bookmarkEnd w:id="48"/>
    </w:p>
    <w:p>
      <w:pPr>
        <w:ind w:left="1277" w:leftChars="608" w:firstLine="160" w:firstLineChars="50"/>
        <w:rPr>
          <w:rFonts w:ascii="楷体" w:hAnsi="楷体" w:eastAsia="楷体" w:cs="楷体"/>
          <w:sz w:val="32"/>
          <w:szCs w:val="32"/>
        </w:rPr>
      </w:pPr>
      <w:r>
        <w:rPr>
          <w:rFonts w:hint="eastAsia" w:ascii="楷体" w:hAnsi="楷体" w:eastAsia="楷体" w:cs="楷体"/>
          <w:sz w:val="32"/>
          <w:szCs w:val="32"/>
        </w:rPr>
        <w:t>（见正文附件）。</w:t>
      </w:r>
    </w:p>
    <w:p>
      <w:pPr>
        <w:ind w:firstLine="640" w:firstLineChars="200"/>
        <w:rPr>
          <w:rFonts w:ascii="楷体" w:hAnsi="楷体" w:eastAsia="楷体" w:cs="楷体"/>
          <w:sz w:val="32"/>
          <w:szCs w:val="32"/>
        </w:rPr>
      </w:pPr>
      <w:bookmarkStart w:id="49" w:name="_Toc9377_WPSOffice_Level2"/>
      <w:bookmarkStart w:id="50" w:name="_Toc29886_WPSOffice_Level2"/>
      <w:bookmarkStart w:id="51" w:name="_Toc19961_WPSOffice_Level2"/>
      <w:bookmarkStart w:id="52" w:name="_Toc1820_WPSOffice_Level2"/>
      <w:r>
        <w:rPr>
          <w:rFonts w:hint="eastAsia" w:ascii="楷体" w:hAnsi="楷体" w:eastAsia="楷体" w:cs="楷体"/>
          <w:sz w:val="32"/>
          <w:szCs w:val="32"/>
        </w:rPr>
        <w:t>（八）一般公共预算财政拨款“三公”经费支出决算表</w:t>
      </w:r>
      <w:bookmarkEnd w:id="49"/>
      <w:bookmarkEnd w:id="50"/>
      <w:bookmarkEnd w:id="51"/>
      <w:bookmarkEnd w:id="52"/>
    </w:p>
    <w:p>
      <w:pPr>
        <w:ind w:firstLine="1280" w:firstLineChars="400"/>
        <w:rPr>
          <w:rFonts w:ascii="楷体" w:hAnsi="楷体" w:eastAsia="楷体" w:cs="楷体"/>
          <w:sz w:val="32"/>
          <w:szCs w:val="32"/>
        </w:rPr>
      </w:pPr>
      <w:r>
        <w:rPr>
          <w:rFonts w:hint="eastAsia" w:ascii="楷体" w:hAnsi="楷体" w:eastAsia="楷体" w:cs="楷体"/>
          <w:sz w:val="32"/>
          <w:szCs w:val="32"/>
        </w:rPr>
        <w:t>（见正文附件）。</w:t>
      </w:r>
    </w:p>
    <w:p>
      <w:pPr>
        <w:ind w:firstLine="1280" w:firstLineChars="400"/>
        <w:rPr>
          <w:rFonts w:ascii="楷体" w:hAnsi="楷体" w:eastAsia="楷体" w:cs="楷体"/>
          <w:sz w:val="32"/>
          <w:szCs w:val="32"/>
        </w:rPr>
      </w:pPr>
    </w:p>
    <w:p>
      <w:pPr>
        <w:ind w:firstLine="640" w:firstLineChars="200"/>
        <w:rPr>
          <w:rFonts w:ascii="黑体" w:hAnsi="ˎ̥" w:eastAsia="黑体"/>
          <w:sz w:val="32"/>
          <w:szCs w:val="32"/>
        </w:rPr>
      </w:pPr>
      <w:bookmarkStart w:id="53" w:name="_Toc29683_WPSOffice_Level1"/>
      <w:bookmarkStart w:id="54" w:name="_Toc16686_WPSOffice_Level1"/>
      <w:bookmarkStart w:id="55" w:name="_Toc28629_WPSOffice_Level1"/>
      <w:bookmarkStart w:id="56" w:name="_Toc4402_WPSOffice_Level1"/>
      <w:bookmarkStart w:id="57" w:name="_Toc31264_WPSOffice_Level1"/>
      <w:bookmarkStart w:id="58" w:name="_Toc27590_WPSOffice_Level1"/>
      <w:r>
        <w:rPr>
          <w:rFonts w:hint="eastAsia" w:ascii="黑体" w:hAnsi="ˎ̥" w:eastAsia="黑体"/>
          <w:sz w:val="32"/>
          <w:szCs w:val="32"/>
        </w:rPr>
        <w:t>三、2017年度部门决算情况说明</w:t>
      </w:r>
      <w:bookmarkEnd w:id="53"/>
      <w:bookmarkEnd w:id="54"/>
      <w:bookmarkEnd w:id="55"/>
      <w:bookmarkEnd w:id="56"/>
      <w:bookmarkEnd w:id="57"/>
      <w:bookmarkEnd w:id="58"/>
    </w:p>
    <w:p>
      <w:pPr>
        <w:ind w:firstLine="640" w:firstLineChars="200"/>
        <w:rPr>
          <w:rFonts w:ascii="仿宋_GB2312" w:hAnsi="ˎ̥" w:eastAsia="仿宋_GB2312"/>
          <w:sz w:val="32"/>
          <w:szCs w:val="32"/>
        </w:rPr>
      </w:pPr>
      <w:r>
        <w:rPr>
          <w:rFonts w:hint="eastAsia" w:ascii="楷体" w:hAnsi="楷体" w:eastAsia="楷体" w:cs="楷体"/>
          <w:bCs/>
          <w:sz w:val="32"/>
          <w:szCs w:val="32"/>
        </w:rPr>
        <w:t>（一）收入支出决算总体情况</w:t>
      </w:r>
      <w:r>
        <w:rPr>
          <w:rFonts w:hint="eastAsia" w:ascii="楷体_GB2312" w:hAnsi="ˎ̥" w:eastAsia="楷体_GB2312"/>
          <w:bCs/>
          <w:sz w:val="32"/>
          <w:szCs w:val="32"/>
        </w:rPr>
        <w:t>说明。</w:t>
      </w:r>
      <w:r>
        <w:rPr>
          <w:rFonts w:hint="eastAsia" w:ascii="楷体_GB2312" w:hAnsi="ˎ̥" w:eastAsia="楷体_GB2312"/>
          <w:bCs/>
          <w:sz w:val="32"/>
          <w:szCs w:val="32"/>
        </w:rPr>
        <w:br/>
      </w:r>
      <w:r>
        <w:rPr>
          <w:rFonts w:hint="eastAsia" w:ascii="楷体_GB2312" w:hAnsi="ˎ̥" w:eastAsia="楷体_GB2312"/>
          <w:sz w:val="32"/>
          <w:szCs w:val="32"/>
        </w:rPr>
        <w:t xml:space="preserve">    </w:t>
      </w:r>
      <w:r>
        <w:rPr>
          <w:rFonts w:hint="eastAsia" w:ascii="仿宋_GB2312" w:hAnsi="ˎ̥" w:eastAsia="仿宋_GB2312"/>
          <w:sz w:val="32"/>
          <w:szCs w:val="32"/>
        </w:rPr>
        <w:t>2017年度收、支总计18607.04万元，与2016年度相比，收入、支出总计各增加7.98万元，增长0.04%。</w:t>
      </w:r>
    </w:p>
    <w:p>
      <w:pPr>
        <w:ind w:firstLine="640" w:firstLineChars="200"/>
        <w:rPr>
          <w:rFonts w:ascii="仿宋_GB2312" w:hAnsi="ˎ̥" w:eastAsia="仿宋_GB2312"/>
          <w:sz w:val="32"/>
          <w:szCs w:val="32"/>
        </w:rPr>
      </w:pPr>
      <w:r>
        <w:rPr>
          <w:rFonts w:hint="eastAsia" w:ascii="楷体_GB2312" w:hAnsi="ˎ̥" w:eastAsia="楷体_GB2312"/>
          <w:bCs/>
          <w:sz w:val="32"/>
          <w:szCs w:val="32"/>
        </w:rPr>
        <w:t>（二）收入决算情况说明。</w:t>
      </w:r>
      <w:r>
        <w:rPr>
          <w:rFonts w:hint="eastAsia" w:ascii="楷体_GB2312" w:hAnsi="ˎ̥" w:eastAsia="楷体_GB2312"/>
          <w:bCs/>
          <w:sz w:val="32"/>
          <w:szCs w:val="32"/>
        </w:rPr>
        <w:br/>
      </w:r>
      <w:r>
        <w:rPr>
          <w:rFonts w:hint="eastAsia" w:ascii="仿宋_GB2312" w:hAnsi="ˎ̥" w:eastAsia="仿宋_GB2312"/>
          <w:sz w:val="32"/>
          <w:szCs w:val="32"/>
        </w:rPr>
        <w:t xml:space="preserve">    本年收入合计16049万元，其中：财政拨款收入14477.79万元，占90.21%；上级补助收入0万元，占0%；事业收入3.6万元，占1.91%；经营收入1049.16万元，占6.54%；附属单位上缴收入0万元，占0%；其他收入518.45万元，占3.23%。</w:t>
      </w:r>
    </w:p>
    <w:p>
      <w:pPr>
        <w:ind w:firstLine="627" w:firstLineChars="196"/>
        <w:rPr>
          <w:rFonts w:ascii="仿宋_GB2312" w:hAnsi="ˎ̥" w:eastAsia="楷体_GB2312"/>
          <w:bCs/>
          <w:sz w:val="32"/>
          <w:szCs w:val="32"/>
        </w:rPr>
      </w:pPr>
      <w:r>
        <w:rPr>
          <w:rFonts w:hint="eastAsia" w:ascii="楷体_GB2312" w:hAnsi="ˎ̥" w:eastAsia="楷体_GB2312"/>
          <w:bCs/>
          <w:sz w:val="32"/>
          <w:szCs w:val="32"/>
        </w:rPr>
        <w:t>（三）支出决算情况说明。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本年支出合计16293.84万元，其中：基本支出4990.14万元，占30.63%；项目支出10377.81万元，占63.69%；上缴上级支出0万元，占0%；经营支出925.88万元，占5.68%；对附属单位补助支出0万元，占0%。</w:t>
      </w:r>
    </w:p>
    <w:p>
      <w:pPr>
        <w:ind w:firstLine="627" w:firstLineChars="196"/>
        <w:rPr>
          <w:rFonts w:ascii="仿宋_GB2312" w:hAnsi="ˎ̥" w:eastAsia="楷体_GB2312"/>
          <w:bCs/>
          <w:sz w:val="32"/>
          <w:szCs w:val="32"/>
        </w:rPr>
      </w:pPr>
      <w:r>
        <w:rPr>
          <w:rFonts w:hint="eastAsia" w:ascii="楷体_GB2312" w:hAnsi="ˎ̥" w:eastAsia="楷体_GB2312"/>
          <w:bCs/>
          <w:sz w:val="32"/>
          <w:szCs w:val="32"/>
        </w:rPr>
        <w:t>（四）财政拨款收入支出决算总体情况说明。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2017年度财政拨款收入、支出总计15193.54万元。与2016年度相比，财政拨款收入、支出总计各减少1197.56万元，下降7.88%。</w:t>
      </w:r>
    </w:p>
    <w:p>
      <w:pPr>
        <w:ind w:firstLine="627" w:firstLineChars="196"/>
        <w:rPr>
          <w:rFonts w:ascii="仿宋_GB2312" w:hAnsi="ˎ̥" w:eastAsia="楷体_GB2312"/>
          <w:bCs/>
          <w:sz w:val="32"/>
          <w:szCs w:val="32"/>
        </w:rPr>
      </w:pPr>
      <w:r>
        <w:rPr>
          <w:rFonts w:hint="eastAsia" w:ascii="楷体_GB2312" w:hAnsi="ˎ̥" w:eastAsia="楷体_GB2312"/>
          <w:bCs/>
          <w:sz w:val="32"/>
          <w:szCs w:val="32"/>
        </w:rPr>
        <w:t>（五）一般公共预算财政拨款支出决算情况说明。</w:t>
      </w:r>
    </w:p>
    <w:p>
      <w:pPr>
        <w:ind w:firstLine="640" w:firstLineChars="200"/>
        <w:rPr>
          <w:rFonts w:ascii="仿宋_GB2312" w:hAnsi="ˎ̥" w:eastAsia="仿宋_GB2312"/>
          <w:sz w:val="32"/>
          <w:szCs w:val="32"/>
        </w:rPr>
      </w:pPr>
      <w:bookmarkStart w:id="59" w:name="_Toc13694_WPSOffice_Level2"/>
      <w:bookmarkStart w:id="60" w:name="_Toc17398_WPSOffice_Level2"/>
      <w:bookmarkStart w:id="61" w:name="_Toc19665_WPSOffice_Level2"/>
      <w:bookmarkStart w:id="62" w:name="_Toc23005_WPSOffice_Level2"/>
      <w:bookmarkStart w:id="63" w:name="_Toc9989_WPSOffice_Level2"/>
      <w:bookmarkStart w:id="64" w:name="_Toc21737_WPSOffice_Level2"/>
      <w:r>
        <w:rPr>
          <w:rFonts w:hint="eastAsia" w:ascii="仿宋_GB2312" w:hAnsi="ˎ̥" w:eastAsia="仿宋_GB2312"/>
          <w:sz w:val="32"/>
          <w:szCs w:val="32"/>
        </w:rPr>
        <w:t>1.一般公共预算财政拨款支出决算总体情况</w:t>
      </w:r>
      <w:bookmarkEnd w:id="59"/>
      <w:bookmarkEnd w:id="60"/>
      <w:r>
        <w:rPr>
          <w:rFonts w:hint="eastAsia" w:ascii="仿宋_GB2312" w:hAnsi="ˎ̥" w:eastAsia="仿宋_GB2312"/>
          <w:sz w:val="32"/>
          <w:szCs w:val="32"/>
        </w:rPr>
        <w:t xml:space="preserve"> 。</w:t>
      </w:r>
      <w:bookmarkEnd w:id="61"/>
      <w:bookmarkEnd w:id="62"/>
      <w:bookmarkEnd w:id="63"/>
      <w:bookmarkEnd w:id="64"/>
    </w:p>
    <w:p>
      <w:pPr>
        <w:ind w:firstLine="640" w:firstLineChars="200"/>
        <w:rPr>
          <w:rFonts w:ascii="仿宋_GB2312" w:hAnsi="ˎ̥" w:eastAsia="仿宋_GB2312"/>
          <w:sz w:val="32"/>
          <w:szCs w:val="32"/>
        </w:rPr>
      </w:pPr>
      <w:r>
        <w:rPr>
          <w:rFonts w:hint="eastAsia" w:ascii="仿宋_GB2312" w:hAnsi="ˎ̥" w:eastAsia="仿宋_GB2312"/>
          <w:sz w:val="32"/>
          <w:szCs w:val="32"/>
        </w:rPr>
        <w:t>2017年度一般公共预算财政拨款支出14481.29万元，占本年支出合计的88.88%。与2016年度相比，财政拨款支出减少7.8万元，下降0.05%。</w:t>
      </w:r>
    </w:p>
    <w:p>
      <w:pPr>
        <w:ind w:firstLine="640" w:firstLineChars="200"/>
        <w:rPr>
          <w:rFonts w:ascii="仿宋_GB2312" w:hAnsi="ˎ̥" w:eastAsia="仿宋_GB2312"/>
          <w:sz w:val="32"/>
          <w:szCs w:val="32"/>
        </w:rPr>
      </w:pPr>
      <w:bookmarkStart w:id="65" w:name="_Toc18793_WPSOffice_Level2"/>
      <w:bookmarkStart w:id="66" w:name="_Toc2711_WPSOffice_Level2"/>
      <w:bookmarkStart w:id="67" w:name="_Toc19075_WPSOffice_Level2"/>
      <w:bookmarkStart w:id="68" w:name="_Toc23864_WPSOffice_Level2"/>
      <w:bookmarkStart w:id="69" w:name="_Toc27767_WPSOffice_Level2"/>
      <w:bookmarkStart w:id="70" w:name="_Toc19535_WPSOffice_Level2"/>
      <w:r>
        <w:rPr>
          <w:rFonts w:hint="eastAsia" w:ascii="仿宋_GB2312" w:hAnsi="ˎ̥" w:eastAsia="仿宋_GB2312"/>
          <w:sz w:val="32"/>
          <w:szCs w:val="32"/>
        </w:rPr>
        <w:t>2.财政拨款支出决算结构情况</w:t>
      </w:r>
      <w:bookmarkEnd w:id="65"/>
      <w:bookmarkEnd w:id="66"/>
      <w:r>
        <w:rPr>
          <w:rFonts w:hint="eastAsia" w:ascii="仿宋_GB2312" w:hAnsi="ˎ̥" w:eastAsia="仿宋_GB2312"/>
          <w:sz w:val="32"/>
          <w:szCs w:val="32"/>
        </w:rPr>
        <w:t>。</w:t>
      </w:r>
      <w:bookmarkEnd w:id="67"/>
      <w:bookmarkEnd w:id="68"/>
      <w:bookmarkEnd w:id="69"/>
      <w:bookmarkEnd w:id="70"/>
    </w:p>
    <w:p>
      <w:pPr>
        <w:ind w:firstLine="640" w:firstLineChars="200"/>
        <w:rPr>
          <w:rFonts w:ascii="仿宋_GB2312" w:hAnsi="ˎ̥" w:eastAsia="仿宋_GB2312"/>
          <w:sz w:val="32"/>
          <w:szCs w:val="32"/>
        </w:rPr>
      </w:pPr>
      <w:r>
        <w:rPr>
          <w:rFonts w:hint="eastAsia" w:ascii="仿宋_GB2312" w:hAnsi="ˎ̥" w:eastAsia="仿宋_GB2312"/>
          <w:sz w:val="32"/>
          <w:szCs w:val="32"/>
        </w:rPr>
        <w:t>2017年度一般公共预算财政拨款支出14481.29万元，主要用于以下方面：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支出129.72万元，占0.90%；</w:t>
      </w:r>
      <w:r>
        <w:rPr>
          <w:rFonts w:hint="eastAsia" w:ascii="仿宋_GB2312" w:hAnsi="ˎ̥" w:eastAsia="仿宋_GB2312"/>
          <w:b/>
          <w:bCs/>
          <w:sz w:val="32"/>
          <w:szCs w:val="32"/>
        </w:rPr>
        <w:t>教育类支出（类）</w:t>
      </w:r>
      <w:r>
        <w:rPr>
          <w:rFonts w:hint="eastAsia" w:ascii="仿宋_GB2312" w:hAnsi="ˎ̥" w:eastAsia="仿宋_GB2312"/>
          <w:sz w:val="32"/>
          <w:szCs w:val="32"/>
        </w:rPr>
        <w:t>支出422.41万元，占2.92%；</w:t>
      </w:r>
      <w:r>
        <w:rPr>
          <w:rFonts w:hint="eastAsia" w:ascii="仿宋_GB2312" w:hAnsi="ˎ̥" w:eastAsia="仿宋_GB2312"/>
          <w:b/>
          <w:sz w:val="32"/>
          <w:szCs w:val="32"/>
        </w:rPr>
        <w:t>社会保障和就业（类）</w:t>
      </w:r>
      <w:r>
        <w:rPr>
          <w:rFonts w:hint="eastAsia" w:ascii="仿宋_GB2312" w:hAnsi="ˎ̥" w:eastAsia="仿宋_GB2312"/>
          <w:sz w:val="32"/>
          <w:szCs w:val="32"/>
        </w:rPr>
        <w:t>支出13431.35万元，占92.75%；</w:t>
      </w:r>
      <w:r>
        <w:rPr>
          <w:rFonts w:hint="eastAsia" w:ascii="仿宋_GB2312" w:hAnsi="ˎ̥" w:eastAsia="仿宋_GB2312"/>
          <w:b/>
          <w:bCs/>
          <w:sz w:val="32"/>
          <w:szCs w:val="32"/>
        </w:rPr>
        <w:t>医疗卫生与计划生育支出（类）</w:t>
      </w:r>
      <w:r>
        <w:rPr>
          <w:rFonts w:hint="eastAsia" w:ascii="仿宋_GB2312" w:hAnsi="ˎ̥" w:eastAsia="仿宋_GB2312"/>
          <w:sz w:val="32"/>
          <w:szCs w:val="32"/>
        </w:rPr>
        <w:t>支出224.14万元，占1.55%</w:t>
      </w:r>
      <w:r>
        <w:rPr>
          <w:rFonts w:hint="eastAsia" w:ascii="仿宋_GB2312" w:hAnsi="ˎ̥" w:eastAsia="仿宋_GB2312"/>
          <w:b/>
          <w:bCs/>
          <w:sz w:val="32"/>
          <w:szCs w:val="32"/>
        </w:rPr>
        <w:t>住房保障（类）</w:t>
      </w:r>
      <w:r>
        <w:rPr>
          <w:rFonts w:hint="eastAsia" w:ascii="仿宋_GB2312" w:hAnsi="ˎ̥" w:eastAsia="仿宋_GB2312"/>
          <w:sz w:val="32"/>
          <w:szCs w:val="32"/>
        </w:rPr>
        <w:t>支出273.67万元，占1.89%。</w:t>
      </w:r>
    </w:p>
    <w:p>
      <w:pPr>
        <w:ind w:firstLine="640" w:firstLineChars="200"/>
        <w:rPr>
          <w:rFonts w:ascii="仿宋_GB2312" w:hAnsi="ˎ̥" w:eastAsia="仿宋_GB2312"/>
          <w:sz w:val="32"/>
          <w:szCs w:val="32"/>
        </w:rPr>
      </w:pPr>
      <w:bookmarkStart w:id="71" w:name="_Toc29364_WPSOffice_Level2"/>
      <w:bookmarkStart w:id="72" w:name="_Toc15415_WPSOffice_Level2"/>
      <w:bookmarkStart w:id="73" w:name="_Toc25136_WPSOffice_Level2"/>
      <w:bookmarkStart w:id="74" w:name="_Toc21701_WPSOffice_Level2"/>
      <w:bookmarkStart w:id="75" w:name="_Toc22318_WPSOffice_Level2"/>
      <w:bookmarkStart w:id="76" w:name="_Toc9502_WPSOffice_Level2"/>
      <w:r>
        <w:rPr>
          <w:rFonts w:hint="eastAsia" w:ascii="仿宋_GB2312" w:hAnsi="ˎ̥" w:eastAsia="仿宋_GB2312"/>
          <w:sz w:val="32"/>
          <w:szCs w:val="32"/>
        </w:rPr>
        <w:t>3.财政拨款支出决算具体情况。</w:t>
      </w:r>
      <w:bookmarkEnd w:id="71"/>
      <w:bookmarkEnd w:id="72"/>
      <w:bookmarkEnd w:id="73"/>
      <w:bookmarkEnd w:id="74"/>
      <w:bookmarkEnd w:id="75"/>
      <w:bookmarkEnd w:id="76"/>
    </w:p>
    <w:p>
      <w:pPr>
        <w:ind w:firstLine="640" w:firstLineChars="200"/>
        <w:rPr>
          <w:rFonts w:ascii="仿宋_GB2312" w:hAnsi="ˎ̥" w:eastAsia="仿宋_GB2312"/>
          <w:sz w:val="32"/>
          <w:szCs w:val="32"/>
        </w:rPr>
      </w:pPr>
      <w:r>
        <w:rPr>
          <w:rFonts w:hint="eastAsia" w:ascii="仿宋_GB2312" w:hAnsi="ˎ̥" w:eastAsia="仿宋_GB2312"/>
          <w:sz w:val="32"/>
          <w:szCs w:val="32"/>
        </w:rPr>
        <w:t>2017年度财政拨款支出年初预算为14206.14万元，支出决算为14481.29万元，完成年初预算的100%。其中：</w:t>
      </w:r>
    </w:p>
    <w:p>
      <w:pPr>
        <w:ind w:firstLine="627" w:firstLineChars="196"/>
        <w:rPr>
          <w:rFonts w:ascii="仿宋_GB2312" w:hAnsi="ˎ̥" w:eastAsia="楷体_GB2312"/>
          <w:sz w:val="32"/>
          <w:szCs w:val="32"/>
        </w:rPr>
      </w:pPr>
      <w:r>
        <w:rPr>
          <w:rFonts w:hint="eastAsia" w:ascii="楷体_GB2312" w:hAnsi="ˎ̥" w:eastAsia="楷体_GB2312"/>
          <w:bCs/>
          <w:sz w:val="32"/>
          <w:szCs w:val="32"/>
        </w:rPr>
        <w:t>（六）一般公共预算财政拨款基本支出决算情况说明。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2017年度财政拨款基本支出4962.31万元，其中：人员经费4306.12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656.19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ind w:firstLine="627" w:firstLineChars="196"/>
        <w:rPr>
          <w:rFonts w:ascii="仿宋_GB2312" w:hAnsi="ˎ̥" w:eastAsia="楷体_GB2312"/>
          <w:b/>
          <w:bCs w:val="0"/>
          <w:sz w:val="32"/>
          <w:szCs w:val="32"/>
        </w:rPr>
      </w:pPr>
      <w:r>
        <w:rPr>
          <w:rFonts w:hint="eastAsia" w:ascii="楷体_GB2312" w:hAnsi="ˎ̥" w:eastAsia="楷体_GB2312"/>
          <w:b/>
          <w:bCs w:val="0"/>
          <w:sz w:val="32"/>
          <w:szCs w:val="32"/>
        </w:rPr>
        <w:t>（七）一般公共预算财政拨款“三公”经费支出决算情况说明。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b/>
          <w:sz w:val="32"/>
          <w:szCs w:val="32"/>
        </w:rPr>
        <w:t>1. 一般公共预算财政拨款“三公”经费支出决算总体情况说明。</w:t>
      </w:r>
    </w:p>
    <w:p>
      <w:pPr>
        <w:rPr>
          <w:rFonts w:ascii="仿宋_GB2312" w:hAnsi="ˎ̥" w:eastAsia="仿宋_GB2312"/>
          <w:sz w:val="32"/>
          <w:szCs w:val="32"/>
        </w:rPr>
      </w:pPr>
      <w:r>
        <w:rPr>
          <w:rFonts w:hint="eastAsia" w:ascii="仿宋_GB2312" w:hAnsi="ˎ̥" w:eastAsia="仿宋_GB2312"/>
          <w:sz w:val="32"/>
          <w:szCs w:val="32"/>
        </w:rPr>
        <w:t>2017年度一般公共预算财政拨款“三公”经费支出预算为141.92万元，支出决算为47.71万元，完成预算的33.62%，决算数小于预算数的主要原因：随着八项规定的贯彻执行，我厅各项公用经费支出严格控制。</w:t>
      </w:r>
    </w:p>
    <w:p>
      <w:pPr>
        <w:rPr>
          <w:rFonts w:ascii="仿宋_GB2312" w:hAnsi="ˎ̥" w:eastAsia="仿宋_GB2312"/>
          <w:sz w:val="32"/>
          <w:szCs w:val="32"/>
        </w:rPr>
      </w:pPr>
      <w:r>
        <w:rPr>
          <w:rFonts w:hint="eastAsia" w:ascii="仿宋_GB2312" w:hAnsi="ˎ̥" w:eastAsia="仿宋_GB2312"/>
          <w:sz w:val="32"/>
          <w:szCs w:val="32"/>
        </w:rPr>
        <w:t xml:space="preserve">   </w:t>
      </w:r>
      <w:r>
        <w:rPr>
          <w:rFonts w:hint="eastAsia" w:ascii="仿宋_GB2312" w:hAnsi="ˎ̥" w:eastAsia="仿宋_GB2312"/>
          <w:b/>
          <w:sz w:val="32"/>
          <w:szCs w:val="32"/>
        </w:rPr>
        <w:t>2. “三公”经费财政拨款支出决算具体情况说明。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2017年度一般公共预算财政拨款“三公”经费支出决算中，因公出国（境）费支出决算9.07万元，占6.39%；公务用车购置及运行费支出决算35.56万元，占25.06%；公务接待费支出决算2.08万元，占1.47%。具体情况如下：</w:t>
      </w:r>
    </w:p>
    <w:p>
      <w:pPr>
        <w:ind w:firstLine="640" w:firstLineChars="200"/>
        <w:rPr>
          <w:rFonts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支出9.07万元。全年安排因公出国（境）团组0个，</w:t>
      </w:r>
      <w:r>
        <w:rPr>
          <w:rFonts w:hint="eastAsia" w:ascii="仿宋_GB2312" w:hAnsi="ˎ̥" w:eastAsia="仿宋_GB2312"/>
          <w:sz w:val="32"/>
          <w:szCs w:val="32"/>
          <w:lang w:eastAsia="zh-CN"/>
        </w:rPr>
        <w:t>参加民政部和省人社厅组团因公出国</w:t>
      </w:r>
      <w:r>
        <w:rPr>
          <w:rFonts w:hint="eastAsia" w:ascii="仿宋_GB2312" w:hAnsi="ˎ̥" w:eastAsia="仿宋_GB2312"/>
          <w:sz w:val="32"/>
          <w:szCs w:val="32"/>
        </w:rPr>
        <w:t>累计2人次。开支内容包括：</w:t>
      </w:r>
      <w:r>
        <w:rPr>
          <w:rFonts w:hint="eastAsia" w:ascii="仿宋_GB2312" w:hAnsi="ˎ̥" w:eastAsia="仿宋_GB2312" w:cs="仿宋_GB2312"/>
          <w:sz w:val="32"/>
          <w:szCs w:val="32"/>
        </w:rPr>
        <w:t>民政业务等相关工作参与洽谈、技术合作、境外培训、项目考察等</w:t>
      </w:r>
      <w:r>
        <w:rPr>
          <w:rFonts w:hint="eastAsia" w:ascii="仿宋_GB2312" w:hAnsi="ˎ̥" w:eastAsia="仿宋_GB2312" w:cs="仿宋_GB2312"/>
          <w:sz w:val="32"/>
          <w:szCs w:val="32"/>
          <w:lang w:val="en-US" w:eastAsia="zh-CN"/>
        </w:rPr>
        <w:t>.</w:t>
      </w:r>
      <w:r>
        <w:rPr>
          <w:rFonts w:hint="eastAsia" w:ascii="仿宋_GB2312" w:hAnsi="ˎ̥" w:eastAsia="仿宋_GB2312"/>
          <w:sz w:val="32"/>
          <w:szCs w:val="32"/>
        </w:rPr>
        <w:t>因公出国（境）费支出决算比2016年度增加0.26万元，增长2.95%。主要原因是出国费用价格上涨以及汇率的浮动。</w:t>
      </w:r>
    </w:p>
    <w:p>
      <w:pPr>
        <w:numPr>
          <w:ilvl w:val="0"/>
          <w:numId w:val="1"/>
        </w:numPr>
        <w:ind w:firstLine="640" w:firstLineChars="200"/>
        <w:rPr>
          <w:rFonts w:ascii="仿宋_GB2312" w:hAnsi="ˎ̥" w:eastAsia="仿宋_GB2312"/>
          <w:sz w:val="32"/>
          <w:szCs w:val="32"/>
        </w:rPr>
      </w:pPr>
      <w:r>
        <w:rPr>
          <w:rFonts w:hint="eastAsia" w:ascii="仿宋_GB2312" w:hAnsi="ˎ̥" w:eastAsia="仿宋_GB2312"/>
          <w:b/>
          <w:bCs w:val="0"/>
          <w:sz w:val="32"/>
          <w:szCs w:val="32"/>
        </w:rPr>
        <w:t>公务用车购置及运行费支出</w:t>
      </w:r>
      <w:r>
        <w:rPr>
          <w:rFonts w:hint="eastAsia" w:ascii="仿宋_GB2312" w:hAnsi="ˎ̥" w:eastAsia="仿宋_GB2312"/>
          <w:b/>
          <w:bCs w:val="0"/>
          <w:sz w:val="32"/>
          <w:szCs w:val="32"/>
          <w:lang w:val="en-US" w:eastAsia="zh-CN"/>
        </w:rPr>
        <w:t>35.56</w:t>
      </w:r>
      <w:r>
        <w:rPr>
          <w:rFonts w:hint="eastAsia" w:ascii="仿宋_GB2312" w:hAnsi="ˎ̥" w:eastAsia="仿宋_GB2312"/>
          <w:b/>
          <w:bCs w:val="0"/>
          <w:sz w:val="32"/>
          <w:szCs w:val="32"/>
        </w:rPr>
        <w:t>万元。</w:t>
      </w:r>
      <w:r>
        <w:rPr>
          <w:rFonts w:hint="eastAsia" w:ascii="仿宋_GB2312" w:hAnsi="ˎ̥" w:eastAsia="仿宋_GB2312"/>
          <w:sz w:val="32"/>
          <w:szCs w:val="32"/>
        </w:rPr>
        <w:t>其中：</w:t>
      </w:r>
    </w:p>
    <w:p>
      <w:pPr>
        <w:ind w:firstLine="640" w:firstLineChars="200"/>
        <w:rPr>
          <w:rFonts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rPr>
        <w:t>0万元，全年购置公务用车0辆，年末公务用车保有量18辆。</w:t>
      </w:r>
    </w:p>
    <w:p>
      <w:pPr>
        <w:ind w:firstLine="640" w:firstLineChars="200"/>
        <w:rPr>
          <w:rFonts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sz w:val="32"/>
          <w:szCs w:val="32"/>
        </w:rPr>
        <w:t>支出36.56万元，主要用于</w:t>
      </w:r>
      <w:r>
        <w:rPr>
          <w:rFonts w:hint="eastAsia" w:ascii="仿宋_GB2312" w:hAnsi="ˎ̥" w:eastAsia="仿宋_GB2312" w:cs="仿宋_GB2312"/>
          <w:sz w:val="32"/>
          <w:szCs w:val="32"/>
        </w:rPr>
        <w:t>单位公务用车燃料费、维修费、停车费、保险费等支出</w:t>
      </w:r>
      <w:r>
        <w:rPr>
          <w:rFonts w:hint="eastAsia" w:ascii="仿宋_GB2312" w:hAnsi="ˎ̥" w:eastAsia="仿宋_GB2312"/>
          <w:sz w:val="32"/>
          <w:szCs w:val="32"/>
        </w:rPr>
        <w:t>。</w:t>
      </w:r>
    </w:p>
    <w:p>
      <w:pPr>
        <w:ind w:firstLine="640" w:firstLineChars="200"/>
        <w:rPr>
          <w:rFonts w:ascii="仿宋_GB2312" w:hAnsi="ˎ̥" w:eastAsia="仿宋_GB2312"/>
          <w:bCs/>
          <w:sz w:val="32"/>
          <w:szCs w:val="32"/>
        </w:rPr>
      </w:pPr>
      <w:r>
        <w:rPr>
          <w:rFonts w:hint="eastAsia" w:ascii="仿宋_GB2312" w:hAnsi="ˎ̥" w:eastAsia="仿宋_GB2312"/>
          <w:bCs/>
          <w:sz w:val="32"/>
          <w:szCs w:val="32"/>
        </w:rPr>
        <w:t>公务用车购置及运行费支出决算</w:t>
      </w:r>
      <w:r>
        <w:rPr>
          <w:rFonts w:hint="eastAsia" w:ascii="仿宋_GB2312" w:hAnsi="ˎ̥" w:eastAsia="仿宋_GB2312"/>
          <w:sz w:val="32"/>
          <w:szCs w:val="32"/>
        </w:rPr>
        <w:t>比2016年度减少27.77万元，</w:t>
      </w:r>
      <w:r>
        <w:rPr>
          <w:rFonts w:hint="eastAsia" w:ascii="仿宋_GB2312" w:hAnsi="ˎ̥" w:eastAsia="仿宋_GB2312"/>
          <w:sz w:val="32"/>
          <w:szCs w:val="32"/>
          <w:lang w:eastAsia="zh-CN"/>
        </w:rPr>
        <w:t>降低</w:t>
      </w:r>
      <w:r>
        <w:rPr>
          <w:rFonts w:hint="eastAsia" w:ascii="仿宋_GB2312" w:hAnsi="ˎ̥" w:eastAsia="仿宋_GB2312"/>
          <w:sz w:val="32"/>
          <w:szCs w:val="32"/>
        </w:rPr>
        <w:t>43.</w:t>
      </w:r>
      <w:r>
        <w:rPr>
          <w:rFonts w:hint="eastAsia" w:ascii="仿宋_GB2312" w:hAnsi="ˎ̥" w:eastAsia="仿宋_GB2312"/>
          <w:sz w:val="32"/>
          <w:szCs w:val="32"/>
          <w:lang w:val="en-US" w:eastAsia="zh-CN"/>
        </w:rPr>
        <w:t>84</w:t>
      </w:r>
      <w:r>
        <w:rPr>
          <w:rFonts w:hint="eastAsia" w:ascii="仿宋_GB2312" w:hAnsi="ˎ̥" w:eastAsia="仿宋_GB2312"/>
          <w:sz w:val="32"/>
          <w:szCs w:val="32"/>
        </w:rPr>
        <w:t>%。主要原因是公务用车的数量减少。</w:t>
      </w:r>
    </w:p>
    <w:p>
      <w:pPr>
        <w:numPr>
          <w:ilvl w:val="0"/>
          <w:numId w:val="1"/>
        </w:numPr>
        <w:ind w:firstLine="640" w:firstLineChars="200"/>
        <w:rPr>
          <w:rFonts w:ascii="仿宋_GB2312" w:hAnsi="ˎ̥" w:eastAsia="仿宋_GB2312"/>
          <w:sz w:val="32"/>
          <w:szCs w:val="32"/>
        </w:rPr>
      </w:pPr>
      <w:r>
        <w:rPr>
          <w:rFonts w:hint="eastAsia" w:ascii="仿宋_GB2312" w:hAnsi="ˎ̥" w:eastAsia="仿宋_GB2312"/>
          <w:b/>
          <w:sz w:val="32"/>
          <w:szCs w:val="32"/>
        </w:rPr>
        <w:t>公务接待费支出</w:t>
      </w:r>
      <w:r>
        <w:rPr>
          <w:rFonts w:hint="eastAsia" w:ascii="仿宋_GB2312" w:hAnsi="ˎ̥" w:eastAsia="仿宋_GB2312"/>
          <w:sz w:val="32"/>
          <w:szCs w:val="32"/>
        </w:rPr>
        <w:t>2.08万元，其中：</w:t>
      </w:r>
      <w:r>
        <w:rPr>
          <w:rFonts w:hint="eastAsia" w:ascii="仿宋_GB2312" w:hAnsi="ˎ̥" w:eastAsia="仿宋_GB2312"/>
          <w:b/>
          <w:sz w:val="32"/>
          <w:szCs w:val="32"/>
        </w:rPr>
        <w:t>国内公务接待</w:t>
      </w:r>
      <w:r>
        <w:rPr>
          <w:rFonts w:hint="eastAsia" w:ascii="仿宋_GB2312" w:hAnsi="ˎ̥" w:eastAsia="仿宋_GB2312"/>
          <w:sz w:val="32"/>
          <w:szCs w:val="32"/>
        </w:rPr>
        <w:t>支出2.08万元，主要用于</w:t>
      </w:r>
      <w:r>
        <w:rPr>
          <w:rFonts w:hint="eastAsia" w:ascii="仿宋_GB2312" w:hAnsi="ˎ̥" w:eastAsia="仿宋_GB2312" w:cs="仿宋_GB2312"/>
          <w:sz w:val="32"/>
          <w:szCs w:val="32"/>
        </w:rPr>
        <w:t>接待中央部门及外省兄弟单位来琼调研出差人员</w:t>
      </w:r>
      <w:r>
        <w:rPr>
          <w:rFonts w:hint="eastAsia" w:ascii="仿宋_GB2312" w:hAnsi="ˎ̥" w:eastAsia="仿宋_GB2312"/>
          <w:sz w:val="32"/>
          <w:szCs w:val="32"/>
        </w:rPr>
        <w:t>。2017年度共接待国内来访团组数0个，来宾116人次。</w:t>
      </w:r>
    </w:p>
    <w:p>
      <w:pPr>
        <w:numPr>
          <w:numId w:val="0"/>
        </w:numPr>
        <w:rPr>
          <w:rFonts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公务接待费支出决算比2016年度增加0.26万元，增长14.28%。主要原因是外省兄弟单位来琼调研增多。</w:t>
      </w:r>
    </w:p>
    <w:p>
      <w:pPr>
        <w:spacing w:before="100" w:beforeAutospacing="1" w:after="100" w:afterAutospacing="1"/>
        <w:ind w:firstLine="640" w:firstLineChars="200"/>
        <w:rPr>
          <w:rFonts w:ascii="楷体_GB2312" w:hAnsi="ˎ̥" w:eastAsia="楷体_GB2312"/>
          <w:b/>
          <w:bCs w:val="0"/>
          <w:sz w:val="32"/>
          <w:szCs w:val="32"/>
        </w:rPr>
      </w:pPr>
      <w:r>
        <w:rPr>
          <w:rFonts w:hint="eastAsia" w:ascii="楷体_GB2312" w:hAnsi="ˎ̥" w:eastAsia="楷体_GB2312"/>
          <w:b/>
          <w:bCs w:val="0"/>
          <w:sz w:val="32"/>
          <w:szCs w:val="32"/>
        </w:rPr>
        <w:t>（八）预算绩效情况说明。</w:t>
      </w:r>
    </w:p>
    <w:p>
      <w:pPr>
        <w:spacing w:line="578" w:lineRule="exact"/>
        <w:ind w:firstLine="640" w:firstLineChars="200"/>
        <w:rPr>
          <w:rFonts w:ascii="仿宋_GB2312" w:eastAsia="仿宋_GB2312"/>
          <w:sz w:val="32"/>
          <w:szCs w:val="32"/>
        </w:rPr>
      </w:pPr>
      <w:r>
        <w:rPr>
          <w:rFonts w:hint="eastAsia" w:ascii="仿宋_GB2312" w:eastAsia="仿宋_GB2312"/>
          <w:b/>
          <w:sz w:val="32"/>
          <w:szCs w:val="32"/>
        </w:rPr>
        <w:t>1.绩效管理工作开展情况。</w:t>
      </w:r>
      <w:r>
        <w:rPr>
          <w:rFonts w:hint="eastAsia" w:ascii="仿宋_GB2312" w:eastAsia="仿宋_GB2312"/>
          <w:sz w:val="32"/>
          <w:szCs w:val="32"/>
        </w:rPr>
        <w:t>根据财政预算管理要求，海南省民政厅组织对2017年度一般公共预算项目支出开展了绩效自评。自评项目16个，共涉及资金5329.25万元，自评覆盖率达到100%。</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海南省民政厅共组织对“综合事务”等16个项目进行了重点绩效评价，涉及资金5329.25万元。从评价情况来看，十六个项目实际完成7个，未完成项目9个。项目未完成主要原因包括编制年初预算时以上年预算作为参考，预算与实际脱节，年初预算编制不够细致，部分项目在编制预算时，未经过充分论证以致项目实施过程出现困难，项目进度缓慢。</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海南省民政厅开展整体支出绩效评价，涉及资金</w:t>
      </w:r>
      <w:r>
        <w:rPr>
          <w:rFonts w:hint="eastAsia" w:ascii="仿宋_GB2312" w:eastAsia="仿宋_GB2312"/>
          <w:sz w:val="32"/>
          <w:szCs w:val="32"/>
          <w:lang w:val="en-US" w:eastAsia="zh-CN"/>
        </w:rPr>
        <w:t>16294.45</w:t>
      </w:r>
      <w:r>
        <w:rPr>
          <w:rFonts w:hint="eastAsia" w:ascii="仿宋_GB2312" w:eastAsia="仿宋_GB2312"/>
          <w:sz w:val="32"/>
          <w:szCs w:val="32"/>
        </w:rPr>
        <w:t>万元。从评价情况来看，2017年海南省民政厅部门整体支出绩效评价总分为86.66分。投入及效果指标得分为满分，主要失分在过程及产出指标。失分的主要原因是项目资金有结余，预算执行进度较差，年度结余结转资金数额较低大。</w:t>
      </w:r>
    </w:p>
    <w:p>
      <w:pPr>
        <w:spacing w:line="578" w:lineRule="exact"/>
        <w:ind w:firstLine="640" w:firstLineChars="200"/>
        <w:rPr>
          <w:rFonts w:ascii="仿宋_GB2312" w:eastAsia="仿宋_GB2312"/>
          <w:b/>
          <w:sz w:val="32"/>
          <w:szCs w:val="32"/>
        </w:rPr>
      </w:pPr>
      <w:r>
        <w:rPr>
          <w:rFonts w:hint="eastAsia" w:ascii="仿宋_GB2312" w:eastAsia="仿宋_GB2312"/>
          <w:b/>
          <w:sz w:val="32"/>
          <w:szCs w:val="32"/>
        </w:rPr>
        <w:t>2.部门决算中项目绩效自评结果。</w:t>
      </w:r>
    </w:p>
    <w:p>
      <w:pPr>
        <w:spacing w:line="578" w:lineRule="exact"/>
        <w:ind w:firstLine="640" w:firstLineChars="200"/>
        <w:rPr>
          <w:rFonts w:ascii="仿宋_GB2312" w:eastAsia="仿宋_GB2312"/>
          <w:sz w:val="32"/>
          <w:szCs w:val="32"/>
        </w:rPr>
      </w:pPr>
      <w:r>
        <w:rPr>
          <w:rFonts w:hint="eastAsia" w:ascii="仿宋_GB2312" w:eastAsia="仿宋_GB2312"/>
          <w:sz w:val="32"/>
          <w:szCs w:val="32"/>
          <w:lang w:eastAsia="zh-CN"/>
        </w:rPr>
        <w:t>我厅根据年初设定的绩效目标，</w:t>
      </w:r>
      <w:r>
        <w:rPr>
          <w:rFonts w:hint="eastAsia" w:ascii="仿宋_GB2312" w:eastAsia="仿宋_GB2312"/>
          <w:sz w:val="32"/>
          <w:szCs w:val="32"/>
        </w:rPr>
        <w:t>优抚对象及退役军人专项补助资金项目自评得分为0分。发现的主要问题及原因：项目编制预算时对西沙参战民兵人员是够符合优抚补助对象资格未及时核实，导致复核后符合资质的人数少于预算统计人数，导致实际支出小于预算数。下一步改进措施：项目编制</w:t>
      </w:r>
      <w:r>
        <w:rPr>
          <w:rFonts w:hint="eastAsia" w:ascii="仿宋_GB2312" w:eastAsia="仿宋_GB2312"/>
          <w:sz w:val="32"/>
          <w:szCs w:val="32"/>
          <w:lang w:eastAsia="zh-CN"/>
        </w:rPr>
        <w:t>年初预算时应深入调查，了解实际，注重严谨性和科学性，提高财政资金的使用效益；二是</w:t>
      </w:r>
      <w:r>
        <w:rPr>
          <w:rFonts w:hint="eastAsia" w:ascii="仿宋_GB2312" w:eastAsia="仿宋_GB2312"/>
          <w:sz w:val="32"/>
          <w:szCs w:val="32"/>
        </w:rPr>
        <w:t>地名普查成果转化项目自评得分为0分。发现的主要问题及原因：该项目开展涉及的审批流程过于复杂繁琐，且该项目于2017年底才签订合同并开展，导致整个项目无法及时推进。下一步改进措施：编制年初预算时要充分考虑项目的可行性及开展困难程度，不定期召开预算执行分析会，分析预算执行慢的原因和研究加快推进预算执行的措施。</w:t>
      </w:r>
    </w:p>
    <w:p>
      <w:pPr>
        <w:ind w:firstLine="640" w:firstLineChars="200"/>
        <w:rPr>
          <w:rFonts w:ascii="楷体_GB2312" w:hAnsi="ˎ̥" w:eastAsia="楷体_GB2312"/>
          <w:bCs/>
          <w:sz w:val="32"/>
          <w:szCs w:val="32"/>
        </w:rPr>
      </w:pPr>
      <w:r>
        <w:rPr>
          <w:rFonts w:hint="eastAsia" w:ascii="楷体_GB2312" w:hAnsi="ˎ̥" w:eastAsia="楷体_GB2312"/>
          <w:bCs/>
          <w:sz w:val="32"/>
          <w:szCs w:val="32"/>
        </w:rPr>
        <w:t>（九）其他重要事项情况说明。</w:t>
      </w:r>
    </w:p>
    <w:p>
      <w:pPr>
        <w:ind w:firstLine="640" w:firstLineChars="200"/>
        <w:rPr>
          <w:rFonts w:ascii="仿宋_GB2312" w:hAnsi="ˎ̥" w:eastAsia="仿宋_GB2312"/>
          <w:b/>
          <w:sz w:val="32"/>
          <w:szCs w:val="32"/>
        </w:rPr>
      </w:pPr>
      <w:bookmarkStart w:id="77" w:name="_Toc15262_WPSOffice_Level2"/>
      <w:bookmarkStart w:id="78" w:name="_Toc32639_WPSOffice_Level2"/>
      <w:bookmarkStart w:id="79" w:name="_Toc15565_WPSOffice_Level2"/>
      <w:bookmarkStart w:id="80" w:name="_Toc23598_WPSOffice_Level2"/>
      <w:bookmarkStart w:id="81" w:name="_Toc18325_WPSOffice_Level2"/>
      <w:bookmarkStart w:id="82" w:name="_Toc5978_WPSOffice_Level2"/>
      <w:r>
        <w:rPr>
          <w:rFonts w:hint="eastAsia" w:ascii="仿宋_GB2312" w:hAnsi="ˎ̥" w:eastAsia="仿宋_GB2312"/>
          <w:b/>
          <w:sz w:val="32"/>
          <w:szCs w:val="32"/>
        </w:rPr>
        <w:t>1.机关运行经费支出情况。</w:t>
      </w:r>
      <w:bookmarkEnd w:id="77"/>
      <w:bookmarkEnd w:id="78"/>
      <w:bookmarkEnd w:id="79"/>
      <w:bookmarkEnd w:id="80"/>
      <w:bookmarkEnd w:id="81"/>
      <w:bookmarkEnd w:id="82"/>
    </w:p>
    <w:p>
      <w:pPr>
        <w:ind w:firstLine="640" w:firstLineChars="200"/>
        <w:rPr>
          <w:rFonts w:ascii="仿宋_GB2312" w:hAnsi="ˎ̥" w:eastAsia="仿宋_GB2312"/>
          <w:sz w:val="32"/>
          <w:szCs w:val="32"/>
        </w:rPr>
      </w:pPr>
      <w:r>
        <w:rPr>
          <w:rFonts w:hint="eastAsia" w:ascii="仿宋_GB2312" w:hAnsi="ˎ̥" w:eastAsia="仿宋_GB2312"/>
          <w:sz w:val="32"/>
          <w:szCs w:val="32"/>
        </w:rPr>
        <w:t>2017年度海南省民政厅机关运行经费467.94万元（为部门决算中行政单位和参公事业单位使用一般公共预算财政拨款安排的基本支出中的日常公用经费支出），比2016年度增加99.13万元，增长26.87%。</w:t>
      </w:r>
    </w:p>
    <w:p>
      <w:pPr>
        <w:ind w:firstLine="640" w:firstLineChars="200"/>
        <w:rPr>
          <w:rFonts w:ascii="仿宋_GB2312" w:hAnsi="ˎ̥" w:eastAsia="仿宋_GB2312"/>
          <w:b/>
          <w:sz w:val="32"/>
          <w:szCs w:val="32"/>
        </w:rPr>
      </w:pPr>
      <w:bookmarkStart w:id="83" w:name="_Toc30383_WPSOffice_Level2"/>
      <w:bookmarkStart w:id="84" w:name="_Toc13084_WPSOffice_Level2"/>
      <w:bookmarkStart w:id="85" w:name="_Toc3131_WPSOffice_Level2"/>
      <w:bookmarkStart w:id="86" w:name="_Toc25333_WPSOffice_Level2"/>
      <w:bookmarkStart w:id="87" w:name="_Toc32689_WPSOffice_Level2"/>
      <w:bookmarkStart w:id="88" w:name="_Toc23966_WPSOffice_Level2"/>
      <w:r>
        <w:rPr>
          <w:rFonts w:hint="eastAsia" w:ascii="仿宋_GB2312" w:hAnsi="ˎ̥" w:eastAsia="仿宋_GB2312"/>
          <w:b/>
          <w:sz w:val="32"/>
          <w:szCs w:val="32"/>
        </w:rPr>
        <w:t>2.政府采购支出情况。</w:t>
      </w:r>
      <w:bookmarkEnd w:id="83"/>
      <w:bookmarkEnd w:id="84"/>
      <w:bookmarkEnd w:id="85"/>
      <w:bookmarkEnd w:id="86"/>
      <w:bookmarkEnd w:id="87"/>
      <w:bookmarkEnd w:id="88"/>
    </w:p>
    <w:p>
      <w:pPr>
        <w:ind w:firstLine="640" w:firstLineChars="200"/>
        <w:rPr>
          <w:rFonts w:ascii="仿宋_GB2312" w:hAnsi="ˎ̥" w:eastAsia="仿宋_GB2312"/>
          <w:sz w:val="32"/>
          <w:szCs w:val="32"/>
        </w:rPr>
      </w:pPr>
      <w:r>
        <w:rPr>
          <w:rFonts w:hint="eastAsia" w:ascii="仿宋_GB2312" w:hAnsi="ˎ̥" w:eastAsia="仿宋_GB2312"/>
          <w:sz w:val="32"/>
          <w:szCs w:val="32"/>
        </w:rPr>
        <w:t>2017年度海南省民政厅政府采购支出总额1002.48万元，其中：政府采购货物支出214万元、政府采购工程支出50.39万元、政府采购服务支出629.17万元。</w:t>
      </w:r>
    </w:p>
    <w:p>
      <w:pPr>
        <w:ind w:firstLine="640" w:firstLineChars="200"/>
        <w:rPr>
          <w:rFonts w:ascii="仿宋_GB2312" w:hAnsi="ˎ̥" w:eastAsia="仿宋_GB2312"/>
          <w:b/>
          <w:sz w:val="32"/>
          <w:szCs w:val="32"/>
        </w:rPr>
      </w:pPr>
      <w:bookmarkStart w:id="89" w:name="_Toc6016_WPSOffice_Level2"/>
      <w:bookmarkStart w:id="90" w:name="_Toc19989_WPSOffice_Level2"/>
      <w:bookmarkStart w:id="91" w:name="_Toc29584_WPSOffice_Level2"/>
      <w:bookmarkStart w:id="92" w:name="_Toc527_WPSOffice_Level2"/>
      <w:bookmarkStart w:id="93" w:name="_Toc10902_WPSOffice_Level2"/>
      <w:bookmarkStart w:id="94" w:name="_Toc15129_WPSOffice_Level2"/>
      <w:r>
        <w:rPr>
          <w:rFonts w:hint="eastAsia" w:ascii="仿宋_GB2312" w:hAnsi="ˎ̥" w:eastAsia="仿宋_GB2312"/>
          <w:b/>
          <w:sz w:val="32"/>
          <w:szCs w:val="32"/>
        </w:rPr>
        <w:t>3.国有资产占用情况。</w:t>
      </w:r>
      <w:bookmarkEnd w:id="89"/>
      <w:bookmarkEnd w:id="90"/>
      <w:bookmarkEnd w:id="91"/>
      <w:bookmarkEnd w:id="92"/>
      <w:bookmarkEnd w:id="93"/>
      <w:bookmarkEnd w:id="94"/>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2017年度12月31日，本部门共有车辆33辆，其中，部级领导干部用车0辆、一般公务用车27辆、一般执法执勤用车0辆、特种专业技术用车0辆、其他用车6辆，其他用车主要是业务用车；单位价值50万元以上通用设备0台，单价100万元以上专用设备0台。</w:t>
      </w:r>
    </w:p>
    <w:p>
      <w:pPr>
        <w:ind w:firstLine="640" w:firstLineChars="200"/>
        <w:rPr>
          <w:rFonts w:ascii="黑体" w:hAnsi="ˎ̥" w:eastAsia="黑体"/>
          <w:sz w:val="32"/>
          <w:szCs w:val="32"/>
        </w:rPr>
      </w:pPr>
      <w:bookmarkStart w:id="95" w:name="_Toc17580_WPSOffice_Level1"/>
      <w:bookmarkStart w:id="96" w:name="_Toc4398_WPSOffice_Level1"/>
      <w:bookmarkStart w:id="97" w:name="_Toc8808_WPSOffice_Level1"/>
      <w:bookmarkStart w:id="98" w:name="_Toc11039_WPSOffice_Level1"/>
      <w:bookmarkStart w:id="99" w:name="_Toc8874_WPSOffice_Level1"/>
      <w:bookmarkStart w:id="100" w:name="_Toc15425_WPSOffice_Level1"/>
      <w:r>
        <w:rPr>
          <w:rFonts w:hint="eastAsia" w:ascii="黑体" w:hAnsi="ˎ̥" w:eastAsia="黑体"/>
          <w:sz w:val="32"/>
          <w:szCs w:val="32"/>
        </w:rPr>
        <w:t>四、名词解释</w:t>
      </w:r>
      <w:bookmarkEnd w:id="95"/>
      <w:bookmarkEnd w:id="96"/>
      <w:bookmarkEnd w:id="97"/>
      <w:bookmarkEnd w:id="98"/>
      <w:bookmarkEnd w:id="99"/>
      <w:bookmarkEnd w:id="100"/>
    </w:p>
    <w:p>
      <w:pPr>
        <w:ind w:firstLine="640" w:firstLineChars="200"/>
        <w:rPr>
          <w:rFonts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spacing w:before="0" w:beforeAutospacing="0" w:after="0" w:afterAutospacing="0"/>
        <w:ind w:left="0" w:right="0" w:firstLine="640"/>
        <w:rPr>
          <w:rFonts w:hint="default" w:ascii="仿宋_GB2312" w:eastAsia="仿宋_GB2312" w:cs="仿宋_GB2312"/>
          <w:b w:val="0"/>
          <w:i w:val="0"/>
          <w:sz w:val="32"/>
          <w:szCs w:val="32"/>
        </w:rPr>
      </w:pPr>
      <w:r>
        <w:rPr>
          <w:rFonts w:hint="default" w:ascii="仿宋_GB2312" w:eastAsia="仿宋_GB2312" w:cs="仿宋_GB2312"/>
          <w:b w:val="0"/>
          <w:i w:val="0"/>
          <w:sz w:val="32"/>
          <w:szCs w:val="32"/>
        </w:rPr>
        <w:t>附表：1、收入支出决算总表</w:t>
      </w:r>
    </w:p>
    <w:p>
      <w:pPr>
        <w:pStyle w:val="11"/>
        <w:spacing w:before="0" w:beforeAutospacing="0" w:after="0" w:afterAutospacing="0"/>
        <w:ind w:left="0" w:right="0" w:firstLine="640"/>
        <w:rPr>
          <w:rFonts w:hint="default" w:ascii="仿宋_GB2312" w:eastAsia="仿宋_GB2312" w:cs="仿宋_GB2312"/>
          <w:b w:val="0"/>
          <w:i w:val="0"/>
          <w:sz w:val="32"/>
          <w:szCs w:val="32"/>
        </w:rPr>
      </w:pPr>
      <w:r>
        <w:rPr>
          <w:rFonts w:hint="default" w:ascii="仿宋_GB2312" w:eastAsia="仿宋_GB2312" w:cs="仿宋_GB2312"/>
          <w:b w:val="0"/>
          <w:i w:val="0"/>
          <w:sz w:val="32"/>
          <w:szCs w:val="32"/>
        </w:rPr>
        <w:t xml:space="preserve">      2、收入决算表</w:t>
      </w:r>
    </w:p>
    <w:p>
      <w:pPr>
        <w:pStyle w:val="11"/>
        <w:spacing w:before="0" w:beforeAutospacing="0" w:after="0" w:afterAutospacing="0"/>
        <w:ind w:left="0" w:right="0" w:firstLine="640"/>
        <w:rPr>
          <w:rFonts w:hint="default" w:ascii="仿宋_GB2312" w:eastAsia="仿宋_GB2312" w:cs="仿宋_GB2312"/>
          <w:b w:val="0"/>
          <w:i w:val="0"/>
          <w:sz w:val="32"/>
          <w:szCs w:val="32"/>
        </w:rPr>
      </w:pPr>
      <w:r>
        <w:rPr>
          <w:rFonts w:hint="default" w:ascii="仿宋_GB2312" w:eastAsia="仿宋_GB2312" w:cs="仿宋_GB2312"/>
          <w:b w:val="0"/>
          <w:i w:val="0"/>
          <w:sz w:val="32"/>
          <w:szCs w:val="32"/>
        </w:rPr>
        <w:t xml:space="preserve">      3、支出决算表</w:t>
      </w:r>
    </w:p>
    <w:p>
      <w:pPr>
        <w:pStyle w:val="11"/>
        <w:spacing w:before="0" w:beforeAutospacing="0" w:after="0" w:afterAutospacing="0"/>
        <w:ind w:left="0" w:right="0" w:firstLine="640"/>
        <w:rPr>
          <w:rFonts w:hint="default" w:ascii="仿宋_GB2312" w:eastAsia="仿宋_GB2312" w:cs="仿宋_GB2312"/>
          <w:b w:val="0"/>
          <w:i w:val="0"/>
          <w:sz w:val="32"/>
          <w:szCs w:val="32"/>
        </w:rPr>
      </w:pPr>
      <w:r>
        <w:rPr>
          <w:rFonts w:hint="default" w:ascii="仿宋_GB2312" w:eastAsia="仿宋_GB2312" w:cs="仿宋_GB2312"/>
          <w:b w:val="0"/>
          <w:i w:val="0"/>
          <w:sz w:val="32"/>
          <w:szCs w:val="32"/>
        </w:rPr>
        <w:t xml:space="preserve">      4、财政拨款收入支出决算总表</w:t>
      </w:r>
    </w:p>
    <w:p>
      <w:pPr>
        <w:pStyle w:val="11"/>
        <w:spacing w:before="0" w:beforeAutospacing="0" w:after="0" w:afterAutospacing="0"/>
        <w:ind w:left="0" w:right="0" w:firstLine="640"/>
        <w:rPr>
          <w:rFonts w:hint="default" w:ascii="仿宋_GB2312" w:eastAsia="仿宋_GB2312" w:cs="仿宋_GB2312"/>
          <w:b w:val="0"/>
          <w:i w:val="0"/>
          <w:sz w:val="32"/>
          <w:szCs w:val="32"/>
        </w:rPr>
      </w:pPr>
      <w:r>
        <w:rPr>
          <w:rFonts w:hint="default" w:ascii="仿宋_GB2312" w:eastAsia="仿宋_GB2312" w:cs="仿宋_GB2312"/>
          <w:b w:val="0"/>
          <w:i w:val="0"/>
          <w:sz w:val="32"/>
          <w:szCs w:val="32"/>
        </w:rPr>
        <w:t xml:space="preserve">      5、一般公共预算财政拨款支出决算表</w:t>
      </w:r>
    </w:p>
    <w:p>
      <w:pPr>
        <w:pStyle w:val="11"/>
        <w:spacing w:before="0" w:beforeAutospacing="0" w:after="0" w:afterAutospacing="0"/>
        <w:ind w:left="0" w:right="0" w:firstLine="640"/>
        <w:rPr>
          <w:rFonts w:hint="default" w:ascii="仿宋_GB2312" w:eastAsia="仿宋_GB2312" w:cs="仿宋_GB2312"/>
          <w:b w:val="0"/>
          <w:i w:val="0"/>
          <w:sz w:val="32"/>
          <w:szCs w:val="32"/>
        </w:rPr>
      </w:pPr>
      <w:r>
        <w:rPr>
          <w:rFonts w:hint="default" w:ascii="仿宋_GB2312" w:eastAsia="仿宋_GB2312" w:cs="仿宋_GB2312"/>
          <w:b w:val="0"/>
          <w:i w:val="0"/>
          <w:sz w:val="32"/>
          <w:szCs w:val="32"/>
        </w:rPr>
        <w:t xml:space="preserve">      6、一般公共预算财政拨款基本支出决算表</w:t>
      </w:r>
    </w:p>
    <w:p>
      <w:pPr>
        <w:pStyle w:val="11"/>
        <w:spacing w:before="0" w:beforeAutospacing="0" w:after="0" w:afterAutospacing="0"/>
        <w:ind w:left="0" w:right="0" w:firstLine="640"/>
        <w:rPr>
          <w:rFonts w:hint="default" w:ascii="仿宋_GB2312" w:eastAsia="仿宋_GB2312" w:cs="仿宋_GB2312"/>
          <w:b w:val="0"/>
          <w:i w:val="0"/>
          <w:sz w:val="32"/>
          <w:szCs w:val="32"/>
        </w:rPr>
      </w:pPr>
      <w:r>
        <w:rPr>
          <w:rFonts w:hint="default" w:ascii="仿宋_GB2312" w:eastAsia="仿宋_GB2312" w:cs="仿宋_GB2312"/>
          <w:b w:val="0"/>
          <w:i w:val="0"/>
          <w:sz w:val="32"/>
          <w:szCs w:val="32"/>
        </w:rPr>
        <w:t xml:space="preserve">      7、一般公共预算财政拨款</w:t>
      </w:r>
      <w:r>
        <w:rPr>
          <w:rFonts w:hint="eastAsia" w:ascii="宋体" w:hAnsi="宋体" w:eastAsia="宋体" w:cs="宋体"/>
          <w:b w:val="0"/>
          <w:i w:val="0"/>
          <w:sz w:val="32"/>
          <w:szCs w:val="32"/>
        </w:rPr>
        <w:t>“</w:t>
      </w:r>
      <w:r>
        <w:rPr>
          <w:rFonts w:hint="default" w:ascii="仿宋_GB2312" w:eastAsia="仿宋_GB2312" w:cs="仿宋_GB2312"/>
          <w:b w:val="0"/>
          <w:i w:val="0"/>
          <w:sz w:val="32"/>
          <w:szCs w:val="32"/>
        </w:rPr>
        <w:t>三公</w:t>
      </w:r>
      <w:r>
        <w:rPr>
          <w:rFonts w:hint="eastAsia" w:ascii="宋体" w:hAnsi="宋体" w:eastAsia="宋体" w:cs="宋体"/>
          <w:b w:val="0"/>
          <w:i w:val="0"/>
          <w:sz w:val="32"/>
          <w:szCs w:val="32"/>
        </w:rPr>
        <w:t>”</w:t>
      </w:r>
      <w:r>
        <w:rPr>
          <w:rFonts w:hint="default" w:ascii="仿宋_GB2312" w:eastAsia="仿宋_GB2312" w:cs="仿宋_GB2312"/>
          <w:b w:val="0"/>
          <w:i w:val="0"/>
          <w:sz w:val="32"/>
          <w:szCs w:val="32"/>
        </w:rPr>
        <w:t>经费支出决算表</w:t>
      </w:r>
    </w:p>
    <w:p>
      <w:pPr>
        <w:pStyle w:val="11"/>
        <w:spacing w:before="0" w:beforeAutospacing="0" w:after="0" w:afterAutospacing="0"/>
        <w:ind w:left="0" w:right="0" w:firstLine="640"/>
        <w:rPr>
          <w:rFonts w:hint="eastAsia" w:ascii="宋体" w:hAnsi="宋体" w:eastAsia="宋体" w:cs="宋体"/>
          <w:b w:val="0"/>
          <w:i w:val="0"/>
          <w:sz w:val="24"/>
          <w:szCs w:val="24"/>
        </w:rPr>
      </w:pPr>
      <w:r>
        <w:rPr>
          <w:rFonts w:hint="default" w:ascii="仿宋_GB2312" w:eastAsia="仿宋_GB2312" w:cs="仿宋_GB2312"/>
          <w:b w:val="0"/>
          <w:i w:val="0"/>
          <w:sz w:val="32"/>
          <w:szCs w:val="32"/>
        </w:rPr>
        <w:t xml:space="preserve">      8、政府性基金预算财政财政拨款收入支出决算表</w:t>
      </w:r>
    </w:p>
    <w:p>
      <w:pPr>
        <w:rPr>
          <w:rFonts w:ascii="仿宋_GB2312" w:hAnsi="ˎ̥" w:eastAsia="仿宋_GB2312"/>
          <w:sz w:val="32"/>
          <w:szCs w:val="32"/>
        </w:rPr>
      </w:pPr>
    </w:p>
    <w:p>
      <w:pPr>
        <w:rPr>
          <w:rFonts w:ascii="仿宋_GB2312" w:hAnsi="ˎ̥" w:eastAsia="仿宋_GB2312"/>
          <w:sz w:val="32"/>
          <w:szCs w:val="32"/>
        </w:rPr>
      </w:pPr>
    </w:p>
    <w:p>
      <w:pPr>
        <w:rPr>
          <w:rFonts w:ascii="仿宋_GB2312" w:hAnsi="ˎ̥" w:eastAsia="仿宋_GB2312"/>
          <w:sz w:val="32"/>
          <w:szCs w:val="32"/>
        </w:rPr>
      </w:pPr>
    </w:p>
    <w:p>
      <w:pPr>
        <w:rPr>
          <w:rFonts w:ascii="仿宋_GB2312" w:hAnsi="ˎ̥" w:eastAsia="仿宋_GB2312"/>
          <w:sz w:val="32"/>
          <w:szCs w:val="32"/>
        </w:rPr>
      </w:pPr>
    </w:p>
    <w:p>
      <w:pPr>
        <w:rPr>
          <w:rFonts w:ascii="仿宋_GB2312" w:hAnsi="ˎ̥" w:eastAsia="仿宋_GB2312"/>
          <w:sz w:val="32"/>
          <w:szCs w:val="32"/>
        </w:rPr>
      </w:pPr>
    </w:p>
    <w:p>
      <w:p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海南省民政厅</w:t>
      </w:r>
    </w:p>
    <w:p>
      <w:p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2018年9月3日</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楷体_GB2312">
    <w:altName w:val="楷体"/>
    <w:panose1 w:val="00000000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rPr>
                    <w:rStyle w:val="6"/>
                  </w:rPr>
                </w:pPr>
                <w:r>
                  <w:fldChar w:fldCharType="begin"/>
                </w:r>
                <w:r>
                  <w:rPr>
                    <w:rStyle w:val="6"/>
                  </w:rPr>
                  <w:instrText xml:space="preserve">PAGE  </w:instrText>
                </w:r>
                <w:r>
                  <w:fldChar w:fldCharType="separate"/>
                </w:r>
                <w:r>
                  <w:rPr>
                    <w:rStyle w:val="6"/>
                  </w:rP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2"/>
      <w:numFmt w:val="decimal"/>
      <w:suff w:val="nothing"/>
      <w:lvlText w:val="（%1）"/>
      <w:lvlJc w:val="left"/>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style>
  <w:style w:type="paragraph" w:customStyle="1" w:styleId="7">
    <w:name w:val="WPSOffice手动目录 2"/>
    <w:uiPriority w:val="0"/>
    <w:pPr>
      <w:ind w:left="200" w:leftChars="200"/>
    </w:pPr>
  </w:style>
  <w:style w:type="paragraph" w:customStyle="1" w:styleId="8">
    <w:name w:val="WPSOffice手动目录 1"/>
    <w:uiPriority w:val="0"/>
  </w:style>
  <w:style w:type="paragraph" w:customStyle="1" w:styleId="9">
    <w:name w:val="正文1 Char Char Char"/>
    <w:basedOn w:val="1"/>
    <w:uiPriority w:val="0"/>
    <w:pPr>
      <w:spacing w:line="360" w:lineRule="auto"/>
      <w:ind w:firstLine="200" w:firstLineChars="200"/>
    </w:pPr>
  </w:style>
  <w:style w:type="character" w:customStyle="1" w:styleId="10">
    <w:name w:val="页眉 字符"/>
    <w:basedOn w:val="5"/>
    <w:link w:val="4"/>
    <w:uiPriority w:val="0"/>
    <w:rPr>
      <w:kern w:val="2"/>
      <w:sz w:val="18"/>
      <w:szCs w:val="18"/>
    </w:rPr>
  </w:style>
  <w:style w:type="paragraph" w:customStyle="1" w:styleId="11">
    <w:name w:val="p22"/>
    <w:basedOn w:val="1"/>
    <w:uiPriority w:val="0"/>
    <w:pPr>
      <w:spacing w:before="0" w:beforeAutospacing="0" w:after="0" w:afterAutospacing="0"/>
      <w:jc w:val="left"/>
    </w:pPr>
    <w:rPr>
      <w:rFonts w:hint="eastAsia" w:ascii="宋体" w:hAnsi="宋体" w:eastAsia="宋体" w:cs="宋体"/>
      <w:color w:val="auto"/>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14</Pages>
  <Words>5639</Words>
  <Characters>1690</Characters>
  <Lines>14</Lines>
  <Paragraphs>14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2018-08-27T00:28:00Z</dcterms:created>
  <dc:creator>陈斌</dc:creator>
  <cp:lastModifiedBy>李华敏</cp:lastModifiedBy>
  <cp:lastPrinted>2018-08-27T03:29:00Z</cp:lastPrinted>
  <dcterms:modified xsi:type="dcterms:W3CDTF">2018-09-03T02:11:06Z</dcterms:modified>
  <dc:title>XXXX部门2013年度部门决算（参考模板）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